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6D2DE4" w:rsidRPr="006D2DE4" w14:paraId="4E7CB5D0" w14:textId="77777777" w:rsidTr="008C0418">
        <w:tc>
          <w:tcPr>
            <w:tcW w:w="1422" w:type="dxa"/>
          </w:tcPr>
          <w:p w14:paraId="6C8B390B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34184E29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237B5BC7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6D2DE4" w:rsidRPr="006D2DE4" w14:paraId="14222E87" w14:textId="77777777" w:rsidTr="008C0418">
        <w:tc>
          <w:tcPr>
            <w:tcW w:w="1422" w:type="dxa"/>
          </w:tcPr>
          <w:p w14:paraId="2157C235" w14:textId="27EF34E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3EC23655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10:00 -11:30</w:t>
            </w:r>
          </w:p>
          <w:p w14:paraId="3BAB34DE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3218084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– w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prowadzenie</w:t>
            </w:r>
          </w:p>
          <w:p w14:paraId="5F019D1F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5BF5A399" w14:textId="77777777" w:rsidR="006D2DE4" w:rsidRPr="006D2DE4" w:rsidRDefault="006D2DE4" w:rsidP="006D2DE4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podstawowe pojęcia, w tym dotyczące definicji osoby z niepełnosprawnością oraz pojęcia dyskryminacji na gruncie Konwencji ONZ o Prawach Osób Niepełnosprawnych;</w:t>
            </w:r>
          </w:p>
          <w:p w14:paraId="736F6929" w14:textId="2848F89A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podstawy prawne i dokumenty regulujące zasady równości szans i niedyskryminacji, w tym dostępności dla osób z niepełnosprawnościami;</w:t>
            </w:r>
          </w:p>
        </w:tc>
      </w:tr>
      <w:tr w:rsidR="006D2DE4" w:rsidRPr="006D2DE4" w14:paraId="7FDF5442" w14:textId="77777777" w:rsidTr="008C0418">
        <w:tc>
          <w:tcPr>
            <w:tcW w:w="1422" w:type="dxa"/>
          </w:tcPr>
          <w:p w14:paraId="7E5FA26B" w14:textId="5E1D6163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35E6D79C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11:30-11:50</w:t>
            </w:r>
          </w:p>
        </w:tc>
        <w:tc>
          <w:tcPr>
            <w:tcW w:w="7383" w:type="dxa"/>
          </w:tcPr>
          <w:p w14:paraId="73EA558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Przerwa kawowa </w:t>
            </w:r>
          </w:p>
        </w:tc>
      </w:tr>
      <w:tr w:rsidR="006D2DE4" w:rsidRPr="006D2DE4" w14:paraId="7564F7A4" w14:textId="77777777" w:rsidTr="008C0418">
        <w:tc>
          <w:tcPr>
            <w:tcW w:w="1422" w:type="dxa"/>
          </w:tcPr>
          <w:p w14:paraId="35B067E1" w14:textId="0566A690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4B8DFEF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11:50-13.00</w:t>
            </w:r>
          </w:p>
          <w:p w14:paraId="217B874D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1B025D95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realizacja zasady równości szans i niedyskryminacji, w tym dostępności dla osób z niepełnosprawnościami w procesie wdrażania Europejskiego Funduszu Społecznego (EFS), Europejskiego Funduszu Rozwoju Regionalnego (EFRR) i Funduszu Spójności (FS);</w:t>
            </w:r>
          </w:p>
          <w:p w14:paraId="44CCD0FB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uniwersalne projektowanie i racjonalne usprawnienia oraz mechanizm racjonalnych usprawnień w projektach finansowanych ze środków EFS (EFS+);</w:t>
            </w:r>
          </w:p>
          <w:p w14:paraId="0079FB57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Program </w:t>
            </w:r>
            <w:r w:rsidRPr="006D2DE4">
              <w:rPr>
                <w:rFonts w:asciiTheme="majorHAnsi" w:hAnsiTheme="majorHAnsi" w:cstheme="majorHAnsi"/>
                <w:iCs/>
                <w:sz w:val="20"/>
                <w:szCs w:val="20"/>
              </w:rPr>
              <w:t>Dostępność plus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2ABD706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6D2DE4" w:rsidRPr="006D2DE4" w14:paraId="31CDD8A7" w14:textId="77777777" w:rsidTr="008C0418">
        <w:tc>
          <w:tcPr>
            <w:tcW w:w="1422" w:type="dxa"/>
          </w:tcPr>
          <w:p w14:paraId="3D7D3A8D" w14:textId="6D9434F3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083C0353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13.00 – 14.00</w:t>
            </w:r>
          </w:p>
        </w:tc>
        <w:tc>
          <w:tcPr>
            <w:tcW w:w="7383" w:type="dxa"/>
          </w:tcPr>
          <w:p w14:paraId="0158414D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6D2DE4" w:rsidRPr="006D2DE4" w14:paraId="6578B1B0" w14:textId="77777777" w:rsidTr="008C0418">
        <w:tc>
          <w:tcPr>
            <w:tcW w:w="1422" w:type="dxa"/>
          </w:tcPr>
          <w:p w14:paraId="40FD428E" w14:textId="0E2B7D7D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4EEF164B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14.00 – 15.30</w:t>
            </w:r>
          </w:p>
          <w:p w14:paraId="45370F2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83" w:type="dxa"/>
          </w:tcPr>
          <w:p w14:paraId="6C4DA8E1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Dostępność cyfrowa</w:t>
            </w:r>
          </w:p>
          <w:p w14:paraId="7A54ABC8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Redagowanie dokumentów elektronicznych – część teoretyczna:</w:t>
            </w:r>
          </w:p>
          <w:p w14:paraId="1D4F152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edytor tekstów,</w:t>
            </w:r>
          </w:p>
          <w:p w14:paraId="7DEBA952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arkusz kalkulacyjny,</w:t>
            </w:r>
          </w:p>
          <w:p w14:paraId="54CBB06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76" w:lineRule="auto"/>
              <w:ind w:left="284" w:right="120" w:hanging="284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prezentacje.</w:t>
            </w:r>
          </w:p>
          <w:p w14:paraId="253BB5A4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Redagowanie dokumentów elektronicznych – część praktyczna: </w:t>
            </w:r>
          </w:p>
          <w:p w14:paraId="7EB413F7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narzędzie sprawdzania ułatwień dostępu, </w:t>
            </w:r>
          </w:p>
          <w:p w14:paraId="5D6EDE32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line="276" w:lineRule="auto"/>
              <w:ind w:left="284"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 xml:space="preserve">odczyt dokumentów przez czytnik ekranu. </w:t>
            </w:r>
          </w:p>
          <w:p w14:paraId="4DEF03FC" w14:textId="1BD52889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poprawa/ dostosowanie przykładowych niedostępnych dokumentów elektronicznych i ich ponowna weryfikacja pod kątem dostępności.</w:t>
            </w:r>
          </w:p>
        </w:tc>
      </w:tr>
      <w:tr w:rsidR="006D2DE4" w:rsidRPr="006D2DE4" w14:paraId="18510E44" w14:textId="77777777" w:rsidTr="008C0418">
        <w:tc>
          <w:tcPr>
            <w:tcW w:w="1422" w:type="dxa"/>
          </w:tcPr>
          <w:p w14:paraId="62459BC1" w14:textId="21DFA8A9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23752DC1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15.30 – 15.50</w:t>
            </w:r>
          </w:p>
        </w:tc>
        <w:tc>
          <w:tcPr>
            <w:tcW w:w="7383" w:type="dxa"/>
          </w:tcPr>
          <w:p w14:paraId="61691B81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6D2DE4" w:rsidRPr="006D2DE4" w14:paraId="5E33C9AD" w14:textId="77777777" w:rsidTr="008C0418">
        <w:tc>
          <w:tcPr>
            <w:tcW w:w="1422" w:type="dxa"/>
          </w:tcPr>
          <w:p w14:paraId="789CF77A" w14:textId="2E9EDA80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12.12.2022</w:t>
            </w:r>
          </w:p>
        </w:tc>
        <w:tc>
          <w:tcPr>
            <w:tcW w:w="1680" w:type="dxa"/>
          </w:tcPr>
          <w:p w14:paraId="38CF0D0A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15.50 – 17:00</w:t>
            </w:r>
          </w:p>
        </w:tc>
        <w:tc>
          <w:tcPr>
            <w:tcW w:w="7383" w:type="dxa"/>
          </w:tcPr>
          <w:p w14:paraId="7A340D13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Podstawy dostępności multimediów:</w:t>
            </w:r>
          </w:p>
          <w:p w14:paraId="39E686F1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napisy (na żywo, rozszerzone do filmów),</w:t>
            </w:r>
          </w:p>
          <w:p w14:paraId="5BD39AE6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proofErr w:type="spellStart"/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audiodeskrypcja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,</w:t>
            </w:r>
          </w:p>
          <w:p w14:paraId="5FEA511B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tłumaczenie na język migowy,</w:t>
            </w:r>
          </w:p>
          <w:p w14:paraId="3B3653B2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spacing w:before="80" w:line="276" w:lineRule="auto"/>
              <w:ind w:right="119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>komunikacja w czasie kryzysu,</w:t>
            </w:r>
          </w:p>
          <w:p w14:paraId="2E35BA2B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lastRenderedPageBreak/>
              <w:t>przykłady zapisów na temat wymagań dostępności cyfrowej na przykład w dokumentacji zamówień publicznych</w:t>
            </w:r>
          </w:p>
        </w:tc>
      </w:tr>
    </w:tbl>
    <w:p w14:paraId="03CCEBAF" w14:textId="77777777" w:rsidR="006D2DE4" w:rsidRPr="006D2DE4" w:rsidRDefault="006D2DE4" w:rsidP="006D2DE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35"/>
        <w:tblW w:w="10485" w:type="dxa"/>
        <w:tblLook w:val="04A0" w:firstRow="1" w:lastRow="0" w:firstColumn="1" w:lastColumn="0" w:noHBand="0" w:noVBand="1"/>
      </w:tblPr>
      <w:tblGrid>
        <w:gridCol w:w="1422"/>
        <w:gridCol w:w="1680"/>
        <w:gridCol w:w="7383"/>
      </w:tblGrid>
      <w:tr w:rsidR="006D2DE4" w:rsidRPr="006D2DE4" w14:paraId="7CC1A3F1" w14:textId="77777777" w:rsidTr="008C0418">
        <w:tc>
          <w:tcPr>
            <w:tcW w:w="1422" w:type="dxa"/>
          </w:tcPr>
          <w:p w14:paraId="677A5963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680" w:type="dxa"/>
          </w:tcPr>
          <w:p w14:paraId="5BC40960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</w:tc>
        <w:tc>
          <w:tcPr>
            <w:tcW w:w="7383" w:type="dxa"/>
          </w:tcPr>
          <w:p w14:paraId="0AA87C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Tematyka </w:t>
            </w:r>
          </w:p>
        </w:tc>
      </w:tr>
      <w:tr w:rsidR="006D2DE4" w:rsidRPr="006D2DE4" w14:paraId="0C1B042D" w14:textId="77777777" w:rsidTr="008C0418">
        <w:tc>
          <w:tcPr>
            <w:tcW w:w="1422" w:type="dxa"/>
          </w:tcPr>
          <w:p w14:paraId="2BBB5FFE" w14:textId="69385CF5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4E5E6E7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9.00-10:30</w:t>
            </w:r>
          </w:p>
        </w:tc>
        <w:tc>
          <w:tcPr>
            <w:tcW w:w="7383" w:type="dxa"/>
          </w:tcPr>
          <w:p w14:paraId="17C080E2" w14:textId="77777777" w:rsidR="006D2DE4" w:rsidRPr="006D2DE4" w:rsidRDefault="006D2DE4" w:rsidP="006D2DE4">
            <w:pPr>
              <w:pStyle w:val="Nagwek4"/>
              <w:outlineLvl w:val="3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szCs w:val="20"/>
              </w:rPr>
              <w:t>Dostępność informacyjno-komunikacyjna</w:t>
            </w: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1D13AD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Zagadnienia do omówienia:</w:t>
            </w:r>
          </w:p>
          <w:p w14:paraId="2988A8D1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osoby w urzędach odpowiedzialne za realizację d</w:t>
            </w: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ostępności informacyjno-komunikacyjnej,</w:t>
            </w:r>
          </w:p>
          <w:p w14:paraId="7AC13303" w14:textId="77777777" w:rsidR="006D2DE4" w:rsidRPr="006D2DE4" w:rsidRDefault="006D2DE4" w:rsidP="006D2DE4">
            <w:pPr>
              <w:pStyle w:val="Tekstpodstawowy"/>
              <w:keepNext/>
              <w:keepLines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zapewnianie usługi tłumacza online,</w:t>
            </w:r>
          </w:p>
          <w:p w14:paraId="60CEF92B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stosowanie pętli indukcyjnych,</w:t>
            </w:r>
          </w:p>
          <w:p w14:paraId="7F39C2DB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przygotowywanie i zamieszczanie informacji o zakresie działania podmiotu w Polskim Języku Migowym oraz tekście łatwym do czytania i zrozumienia,</w:t>
            </w:r>
          </w:p>
          <w:p w14:paraId="65F53C66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line="276" w:lineRule="auto"/>
              <w:ind w:left="567" w:right="120" w:hanging="425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podstawy obsługi osób ze szczególnymi potrzebami.</w:t>
            </w:r>
          </w:p>
        </w:tc>
      </w:tr>
      <w:tr w:rsidR="006D2DE4" w:rsidRPr="006D2DE4" w14:paraId="79FE6772" w14:textId="77777777" w:rsidTr="008C0418">
        <w:tc>
          <w:tcPr>
            <w:tcW w:w="1422" w:type="dxa"/>
          </w:tcPr>
          <w:p w14:paraId="037BF424" w14:textId="43A7ACAB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4551A8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10:30-10:50</w:t>
            </w:r>
          </w:p>
        </w:tc>
        <w:tc>
          <w:tcPr>
            <w:tcW w:w="7383" w:type="dxa"/>
          </w:tcPr>
          <w:p w14:paraId="68BEC7A8" w14:textId="77777777" w:rsidR="006D2DE4" w:rsidRPr="006D2DE4" w:rsidRDefault="006D2DE4" w:rsidP="006D2DE4">
            <w:pPr>
              <w:numPr>
                <w:ilvl w:val="0"/>
                <w:numId w:val="3"/>
              </w:numPr>
              <w:spacing w:line="276" w:lineRule="auto"/>
              <w:ind w:left="284" w:hanging="29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Przerwa kawowa</w:t>
            </w:r>
          </w:p>
        </w:tc>
      </w:tr>
      <w:tr w:rsidR="006D2DE4" w:rsidRPr="006D2DE4" w14:paraId="5632E30C" w14:textId="77777777" w:rsidTr="008C0418">
        <w:tc>
          <w:tcPr>
            <w:tcW w:w="1422" w:type="dxa"/>
          </w:tcPr>
          <w:p w14:paraId="2FD38470" w14:textId="6964FFD1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608C989F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10:50-12:30</w:t>
            </w:r>
          </w:p>
        </w:tc>
        <w:tc>
          <w:tcPr>
            <w:tcW w:w="7383" w:type="dxa"/>
          </w:tcPr>
          <w:p w14:paraId="0CC80719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Dostępność Architektoniczna </w:t>
            </w:r>
          </w:p>
          <w:p w14:paraId="70C4FCCE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Praktyczne zastosowanie uniwersalnego projektowania oraz racjonalnych usprawnień w przestrzeni lokalnej społeczności, przede wszystkim: </w:t>
            </w:r>
          </w:p>
          <w:p w14:paraId="502369E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tekstowa i </w:t>
            </w:r>
            <w:proofErr w:type="spellStart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ikonografiki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 w przestrzeni publicznej (tekst, wielkość kolor),</w:t>
            </w:r>
          </w:p>
          <w:p w14:paraId="79A3123E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informacja dotykowa (plany </w:t>
            </w:r>
            <w:proofErr w:type="spellStart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tyflograficzne</w:t>
            </w:r>
            <w:proofErr w:type="spellEnd"/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),</w:t>
            </w:r>
          </w:p>
          <w:p w14:paraId="7FFFC55D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informacja dźwiękowa w przestrzeni publicznej,</w:t>
            </w:r>
          </w:p>
          <w:p w14:paraId="12436FE8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infrastruktura społeczna i komunalna, </w:t>
            </w:r>
          </w:p>
          <w:p w14:paraId="4028D925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strefa wejść do budynków,</w:t>
            </w:r>
          </w:p>
          <w:p w14:paraId="7A1F2D51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toalety publiczne,</w:t>
            </w:r>
          </w:p>
          <w:p w14:paraId="191A6434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mała architektura, </w:t>
            </w:r>
          </w:p>
          <w:p w14:paraId="2482E866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19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 i tereny zielone, podwórka, w tym place zabaw,</w:t>
            </w:r>
          </w:p>
          <w:p w14:paraId="4D1A4BCC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 xml:space="preserve">ciągi pieszo-komunikacyjne, </w:t>
            </w:r>
          </w:p>
          <w:p w14:paraId="04DABA8A" w14:textId="77777777" w:rsidR="006D2DE4" w:rsidRPr="006D2DE4" w:rsidRDefault="006D2DE4" w:rsidP="006D2DE4">
            <w:pPr>
              <w:pStyle w:val="Tekstpodstawowy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before="100" w:line="276" w:lineRule="auto"/>
              <w:ind w:left="567" w:right="120" w:hanging="425"/>
              <w:jc w:val="left"/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bCs/>
                <w:sz w:val="20"/>
                <w:lang w:eastAsia="en-US"/>
              </w:rPr>
              <w:t>parkingi i miejsca postojowe, w tym prawidłowe oznakowanie miejsca, automaty płatnicze.</w:t>
            </w:r>
          </w:p>
        </w:tc>
      </w:tr>
      <w:tr w:rsidR="006D2DE4" w:rsidRPr="006D2DE4" w14:paraId="28970883" w14:textId="77777777" w:rsidTr="008C0418">
        <w:tc>
          <w:tcPr>
            <w:tcW w:w="1422" w:type="dxa"/>
          </w:tcPr>
          <w:p w14:paraId="793D35EC" w14:textId="1AB100AC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3C4A948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12:30-13:30</w:t>
            </w:r>
          </w:p>
        </w:tc>
        <w:tc>
          <w:tcPr>
            <w:tcW w:w="7383" w:type="dxa"/>
          </w:tcPr>
          <w:p w14:paraId="1430A0D7" w14:textId="77777777" w:rsidR="006D2DE4" w:rsidRPr="006D2DE4" w:rsidRDefault="006D2DE4" w:rsidP="006D2DE4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tr w:rsidR="006D2DE4" w:rsidRPr="006D2DE4" w14:paraId="6CE469C7" w14:textId="77777777" w:rsidTr="008C0418">
        <w:tc>
          <w:tcPr>
            <w:tcW w:w="1422" w:type="dxa"/>
          </w:tcPr>
          <w:p w14:paraId="452E4A1A" w14:textId="4F236F29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1BDDB059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13:30-15:00</w:t>
            </w:r>
          </w:p>
        </w:tc>
        <w:tc>
          <w:tcPr>
            <w:tcW w:w="7383" w:type="dxa"/>
          </w:tcPr>
          <w:p w14:paraId="22C30533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Zajęcia Warsztatowe:</w:t>
            </w:r>
          </w:p>
          <w:p w14:paraId="2EAB3837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- Zrozumieć, jak by to było, być niewidomym – poruszanie się o lasce, przygotowanie posiłku, przygotowanie napoju</w:t>
            </w:r>
          </w:p>
          <w:p w14:paraId="799862C7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t>Audytowanie Hotelu Novotel jedna grupa</w:t>
            </w:r>
          </w:p>
          <w:p w14:paraId="66127376" w14:textId="77777777" w:rsidR="006D2DE4" w:rsidRPr="006D2DE4" w:rsidRDefault="006D2DE4" w:rsidP="006D2DE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Audytowanie Pomorski Urząd Skarbowy w Gdańsku druga grupa</w:t>
            </w:r>
          </w:p>
        </w:tc>
      </w:tr>
      <w:tr w:rsidR="006D2DE4" w:rsidRPr="006D2DE4" w14:paraId="0B1CCCAA" w14:textId="77777777" w:rsidTr="008C0418">
        <w:tc>
          <w:tcPr>
            <w:tcW w:w="1422" w:type="dxa"/>
          </w:tcPr>
          <w:p w14:paraId="11BAF76C" w14:textId="60D5DBF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lastRenderedPageBreak/>
              <w:t>13.12.2022</w:t>
            </w:r>
          </w:p>
        </w:tc>
        <w:tc>
          <w:tcPr>
            <w:tcW w:w="1680" w:type="dxa"/>
          </w:tcPr>
          <w:p w14:paraId="4CB2B516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15.00-15:20 </w:t>
            </w:r>
          </w:p>
        </w:tc>
        <w:tc>
          <w:tcPr>
            <w:tcW w:w="7383" w:type="dxa"/>
          </w:tcPr>
          <w:p w14:paraId="7ED9F870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6D2DE4">
              <w:rPr>
                <w:rFonts w:asciiTheme="majorHAnsi" w:hAnsiTheme="majorHAnsi" w:cstheme="majorHAnsi"/>
                <w:bCs/>
                <w:sz w:val="20"/>
              </w:rPr>
              <w:t>Przerwa kawowa</w:t>
            </w:r>
          </w:p>
        </w:tc>
      </w:tr>
      <w:tr w:rsidR="006D2DE4" w:rsidRPr="006D2DE4" w14:paraId="458CCF6A" w14:textId="77777777" w:rsidTr="008C0418">
        <w:tc>
          <w:tcPr>
            <w:tcW w:w="1422" w:type="dxa"/>
          </w:tcPr>
          <w:p w14:paraId="6AE43F7E" w14:textId="35AE0BCB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13.12.2022</w:t>
            </w:r>
          </w:p>
        </w:tc>
        <w:tc>
          <w:tcPr>
            <w:tcW w:w="1680" w:type="dxa"/>
          </w:tcPr>
          <w:p w14:paraId="5164A548" w14:textId="77777777" w:rsidR="006D2DE4" w:rsidRPr="006D2DE4" w:rsidRDefault="006D2DE4" w:rsidP="006D2DE4">
            <w:pPr>
              <w:pStyle w:val="Nagwek3"/>
              <w:keepNext/>
              <w:keepLines/>
              <w:ind w:left="0" w:right="-142"/>
              <w:outlineLvl w:val="2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6D2DE4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15:20-16:00</w:t>
            </w:r>
          </w:p>
        </w:tc>
        <w:tc>
          <w:tcPr>
            <w:tcW w:w="7383" w:type="dxa"/>
          </w:tcPr>
          <w:p w14:paraId="1D259333" w14:textId="77777777" w:rsidR="006D2DE4" w:rsidRPr="006D2DE4" w:rsidRDefault="006D2DE4" w:rsidP="006D2DE4">
            <w:pPr>
              <w:pStyle w:val="Tekstpodstawowy"/>
              <w:widowControl w:val="0"/>
              <w:suppressAutoHyphens w:val="0"/>
              <w:autoSpaceDE w:val="0"/>
              <w:autoSpaceDN w:val="0"/>
              <w:spacing w:line="276" w:lineRule="auto"/>
              <w:ind w:right="120"/>
              <w:jc w:val="left"/>
              <w:rPr>
                <w:rFonts w:asciiTheme="majorHAnsi" w:eastAsiaTheme="minorHAnsi" w:hAnsiTheme="majorHAnsi" w:cstheme="majorHAnsi"/>
                <w:sz w:val="20"/>
                <w:lang w:eastAsia="en-US"/>
              </w:rPr>
            </w:pPr>
            <w:r w:rsidRPr="006D2DE4">
              <w:rPr>
                <w:rFonts w:asciiTheme="majorHAnsi" w:eastAsiaTheme="minorHAnsi" w:hAnsiTheme="majorHAnsi" w:cstheme="majorHAnsi"/>
                <w:sz w:val="20"/>
                <w:lang w:eastAsia="en-US"/>
              </w:rPr>
              <w:t xml:space="preserve">Podsumowanie </w:t>
            </w:r>
          </w:p>
        </w:tc>
      </w:tr>
    </w:tbl>
    <w:p w14:paraId="45FDDEB6" w14:textId="77777777" w:rsidR="006D2DE4" w:rsidRPr="006D2DE4" w:rsidRDefault="006D2DE4" w:rsidP="006D2DE4">
      <w:pPr>
        <w:rPr>
          <w:rFonts w:asciiTheme="majorHAnsi" w:hAnsiTheme="majorHAnsi" w:cstheme="majorHAnsi"/>
          <w:sz w:val="20"/>
          <w:szCs w:val="20"/>
        </w:rPr>
      </w:pPr>
    </w:p>
    <w:p w14:paraId="3EF675AB" w14:textId="77777777" w:rsidR="00DA1D66" w:rsidRPr="006D2DE4" w:rsidRDefault="00DA1D66" w:rsidP="006D2DE4">
      <w:pPr>
        <w:rPr>
          <w:rFonts w:asciiTheme="majorHAnsi" w:hAnsiTheme="majorHAnsi" w:cstheme="majorHAnsi"/>
          <w:sz w:val="20"/>
          <w:szCs w:val="20"/>
        </w:rPr>
      </w:pPr>
    </w:p>
    <w:sectPr w:rsidR="00DA1D66" w:rsidRPr="006D2DE4" w:rsidSect="00ED6B8B">
      <w:headerReference w:type="default" r:id="rId8"/>
      <w:pgSz w:w="11910" w:h="16840"/>
      <w:pgMar w:top="1700" w:right="1300" w:bottom="960" w:left="743" w:header="567" w:footer="7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1E3A" w14:textId="77777777" w:rsidR="0024133B" w:rsidRDefault="0024133B" w:rsidP="007D198B">
      <w:pPr>
        <w:spacing w:after="0" w:line="240" w:lineRule="auto"/>
      </w:pPr>
      <w:r>
        <w:separator/>
      </w:r>
    </w:p>
  </w:endnote>
  <w:endnote w:type="continuationSeparator" w:id="0">
    <w:p w14:paraId="2737FA49" w14:textId="77777777" w:rsidR="0024133B" w:rsidRDefault="0024133B" w:rsidP="007D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BB30" w14:textId="77777777" w:rsidR="0024133B" w:rsidRDefault="0024133B" w:rsidP="007D198B">
      <w:pPr>
        <w:spacing w:after="0" w:line="240" w:lineRule="auto"/>
      </w:pPr>
      <w:r>
        <w:separator/>
      </w:r>
    </w:p>
  </w:footnote>
  <w:footnote w:type="continuationSeparator" w:id="0">
    <w:p w14:paraId="7C5C34EA" w14:textId="77777777" w:rsidR="0024133B" w:rsidRDefault="0024133B" w:rsidP="007D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D05A" w14:textId="349D4696" w:rsidR="007D198B" w:rsidRDefault="00AA5955" w:rsidP="00DA1D66">
    <w:pPr>
      <w:pStyle w:val="Nagwek"/>
      <w:jc w:val="center"/>
    </w:pPr>
    <w:r>
      <w:rPr>
        <w:noProof/>
      </w:rPr>
      <w:object w:dxaOrig="1440" w:dyaOrig="1440" w14:anchorId="41D6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Trzy logotypy, od lewej: Fundusze Europejskie Pomoc Techniczna, Urzad Marszałkowski Województwa Pomorskiego, Unia Europejska Fundusz Spójności." style="position:absolute;left:0;text-align:left;margin-left:30.6pt;margin-top:-.4pt;width:534.1pt;height:54.65pt;z-index:251658240;mso-position-horizontal-relative:page">
          <v:imagedata r:id="rId1" o:title=""/>
          <w10:wrap type="square" anchorx="page"/>
        </v:shape>
        <o:OLEObject Type="Embed" ProgID="CorelDraw.Graphic.15" ShapeID="_x0000_s1025" DrawAspect="Content" ObjectID="_1731217155" r:id="rId2"/>
      </w:object>
    </w:r>
    <w:r w:rsidR="00DA1D66">
      <w:t>HARMONOGRAM</w:t>
    </w:r>
  </w:p>
  <w:p w14:paraId="10A9AC28" w14:textId="4B4323DF" w:rsidR="00CB3A37" w:rsidRDefault="00CB3A37" w:rsidP="00DA1D66">
    <w:pPr>
      <w:pStyle w:val="Nagwek"/>
      <w:jc w:val="center"/>
    </w:pPr>
    <w:r w:rsidRPr="00CB3A37">
      <w:t>NOVOTEL GDAŃSK CENTRUM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D33"/>
    <w:multiLevelType w:val="hybridMultilevel"/>
    <w:tmpl w:val="1E169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14DF"/>
    <w:multiLevelType w:val="hybridMultilevel"/>
    <w:tmpl w:val="E66A2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8E0A56"/>
    <w:multiLevelType w:val="hybridMultilevel"/>
    <w:tmpl w:val="59F0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CA2"/>
    <w:multiLevelType w:val="hybridMultilevel"/>
    <w:tmpl w:val="9564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0EC"/>
    <w:multiLevelType w:val="hybridMultilevel"/>
    <w:tmpl w:val="0892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A54"/>
    <w:multiLevelType w:val="hybridMultilevel"/>
    <w:tmpl w:val="56A2FB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B566642-93D1-4661-8490-FB61AB640240}"/>
  </w:docVars>
  <w:rsids>
    <w:rsidRoot w:val="007D198B"/>
    <w:rsid w:val="0003341A"/>
    <w:rsid w:val="00057637"/>
    <w:rsid w:val="00183AD4"/>
    <w:rsid w:val="001B71B4"/>
    <w:rsid w:val="0024133B"/>
    <w:rsid w:val="006945CD"/>
    <w:rsid w:val="006D2DE4"/>
    <w:rsid w:val="007A1517"/>
    <w:rsid w:val="007D198B"/>
    <w:rsid w:val="007F58AD"/>
    <w:rsid w:val="00805F06"/>
    <w:rsid w:val="008224D1"/>
    <w:rsid w:val="009A4A56"/>
    <w:rsid w:val="00AA5955"/>
    <w:rsid w:val="00B4627F"/>
    <w:rsid w:val="00C01545"/>
    <w:rsid w:val="00CB3A37"/>
    <w:rsid w:val="00DA1D66"/>
    <w:rsid w:val="00ED6B8B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5642"/>
  <w15:chartTrackingRefBased/>
  <w15:docId w15:val="{A3DBB7F7-3B90-4287-903D-0F2F44C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DE4"/>
  </w:style>
  <w:style w:type="paragraph" w:styleId="Nagwek3">
    <w:name w:val="heading 3"/>
    <w:basedOn w:val="Normalny"/>
    <w:link w:val="Nagwek3Znak"/>
    <w:unhideWhenUsed/>
    <w:qFormat/>
    <w:rsid w:val="00DA1D66"/>
    <w:pPr>
      <w:tabs>
        <w:tab w:val="left" w:pos="284"/>
      </w:tabs>
      <w:spacing w:before="240" w:after="120" w:line="276" w:lineRule="auto"/>
      <w:ind w:left="708"/>
      <w:outlineLvl w:val="2"/>
    </w:pPr>
    <w:rPr>
      <w:rFonts w:asciiTheme="minorBidi" w:hAnsiTheme="min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1D66"/>
    <w:pPr>
      <w:keepNext/>
      <w:keepLines/>
      <w:spacing w:before="120" w:after="12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98B"/>
  </w:style>
  <w:style w:type="paragraph" w:styleId="Stopka">
    <w:name w:val="footer"/>
    <w:basedOn w:val="Normalny"/>
    <w:link w:val="StopkaZnak"/>
    <w:uiPriority w:val="99"/>
    <w:unhideWhenUsed/>
    <w:rsid w:val="007D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8B"/>
  </w:style>
  <w:style w:type="character" w:customStyle="1" w:styleId="Nagwek3Znak">
    <w:name w:val="Nagłówek 3 Znak"/>
    <w:basedOn w:val="Domylnaczcionkaakapitu"/>
    <w:link w:val="Nagwek3"/>
    <w:rsid w:val="00DA1D66"/>
    <w:rPr>
      <w:rFonts w:asciiTheme="minorBidi" w:hAnsiTheme="min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A1D66"/>
    <w:rPr>
      <w:rFonts w:ascii="Arial" w:eastAsiaTheme="majorEastAsia" w:hAnsi="Arial" w:cstheme="majorBidi"/>
      <w:iCs/>
      <w:sz w:val="24"/>
    </w:rPr>
  </w:style>
  <w:style w:type="paragraph" w:styleId="Tekstpodstawowy">
    <w:name w:val="Body Text"/>
    <w:basedOn w:val="Normalny"/>
    <w:link w:val="TekstpodstawowyZnak"/>
    <w:semiHidden/>
    <w:rsid w:val="00DA1D6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D6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566642-93D1-4661-8490-FB61AB6402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Kantor</dc:creator>
  <cp:keywords/>
  <dc:description/>
  <cp:lastModifiedBy>Pawłowski Karol</cp:lastModifiedBy>
  <cp:revision>2</cp:revision>
  <dcterms:created xsi:type="dcterms:W3CDTF">2022-11-29T07:53:00Z</dcterms:created>
  <dcterms:modified xsi:type="dcterms:W3CDTF">2022-11-29T07:53:00Z</dcterms:modified>
</cp:coreProperties>
</file>