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10A7" w14:textId="73478E5B" w:rsidR="00733C28" w:rsidRDefault="00733C28" w:rsidP="00733C28">
      <w:pPr>
        <w:pStyle w:val="Podstawowy"/>
      </w:pPr>
      <w:r>
        <w:t>Transkrypcja danych do grafiki „Ocena zasobów pomocy społecznej województwa pomorskiego za rok 2022 – wybrane dane”</w:t>
      </w:r>
    </w:p>
    <w:p w14:paraId="34EA6225" w14:textId="1AF5DA37" w:rsidR="00733C28" w:rsidRPr="001E4E66" w:rsidRDefault="00733C28" w:rsidP="001E4E66">
      <w:pPr>
        <w:pStyle w:val="Podstawowy"/>
        <w:spacing w:before="600" w:after="120"/>
        <w:rPr>
          <w:b/>
        </w:rPr>
      </w:pPr>
      <w:r w:rsidRPr="001E4E66">
        <w:rPr>
          <w:b/>
        </w:rPr>
        <w:t>Sytuacja społeczna i gospodarcza:</w:t>
      </w:r>
    </w:p>
    <w:p w14:paraId="64C13523" w14:textId="30F89EDD" w:rsidR="00733C28" w:rsidRDefault="00733C28" w:rsidP="001E4E66">
      <w:pPr>
        <w:pStyle w:val="Podstawowy"/>
        <w:numPr>
          <w:ilvl w:val="0"/>
          <w:numId w:val="1"/>
        </w:numPr>
        <w:spacing w:after="120"/>
      </w:pPr>
      <w:r>
        <w:t>stan ludności w I połowie 2022 r. większy o 643 osoby niż w I połowie 2021 r.,</w:t>
      </w:r>
    </w:p>
    <w:p w14:paraId="4CF35E46" w14:textId="1E0CADCD" w:rsidR="00733C28" w:rsidRDefault="00733C28" w:rsidP="001E4E66">
      <w:pPr>
        <w:pStyle w:val="Podstawowy"/>
        <w:numPr>
          <w:ilvl w:val="0"/>
          <w:numId w:val="1"/>
        </w:numPr>
        <w:spacing w:after="120"/>
      </w:pPr>
      <w:r>
        <w:t>ubytek naturalny 2,2 na 1000 ludności,</w:t>
      </w:r>
    </w:p>
    <w:p w14:paraId="67744971" w14:textId="4B05B5B6" w:rsidR="00733C28" w:rsidRDefault="00733C28" w:rsidP="001E4E66">
      <w:pPr>
        <w:pStyle w:val="Podstawowy"/>
        <w:numPr>
          <w:ilvl w:val="0"/>
          <w:numId w:val="1"/>
        </w:numPr>
        <w:spacing w:after="120"/>
      </w:pPr>
      <w:r>
        <w:t>stopa bezrobocia rejestrowanego:</w:t>
      </w:r>
    </w:p>
    <w:p w14:paraId="3518F650" w14:textId="464F36CC" w:rsidR="00733C28" w:rsidRDefault="00733C28" w:rsidP="001E4E66">
      <w:pPr>
        <w:pStyle w:val="Podstawowy"/>
        <w:numPr>
          <w:ilvl w:val="1"/>
          <w:numId w:val="1"/>
        </w:numPr>
        <w:spacing w:after="120"/>
      </w:pPr>
      <w:r>
        <w:t>4,4% na koniec lipca i sierpnia 2022 r.,</w:t>
      </w:r>
    </w:p>
    <w:p w14:paraId="064EBD62" w14:textId="5FBF3B35" w:rsidR="00733C28" w:rsidRDefault="00733C28" w:rsidP="001E4E66">
      <w:pPr>
        <w:pStyle w:val="Podstawowy"/>
        <w:numPr>
          <w:ilvl w:val="1"/>
          <w:numId w:val="1"/>
        </w:numPr>
        <w:spacing w:after="120"/>
      </w:pPr>
      <w:r>
        <w:t>4,6% na koniec grudnia 2022 r.,</w:t>
      </w:r>
    </w:p>
    <w:p w14:paraId="6B1870F1" w14:textId="3C503C58" w:rsidR="00733C28" w:rsidRDefault="00733C28" w:rsidP="001E4E66">
      <w:pPr>
        <w:pStyle w:val="Podstawowy"/>
        <w:numPr>
          <w:ilvl w:val="0"/>
          <w:numId w:val="1"/>
        </w:numPr>
        <w:spacing w:after="120"/>
      </w:pPr>
      <w:r>
        <w:t>przeciętny miesięczny dochód rozporządzalny ok. 2250zł:</w:t>
      </w:r>
    </w:p>
    <w:p w14:paraId="6D27D98D" w14:textId="67F60214" w:rsidR="00733C28" w:rsidRDefault="00733C28" w:rsidP="001E4E66">
      <w:pPr>
        <w:pStyle w:val="Podstawowy"/>
        <w:numPr>
          <w:ilvl w:val="1"/>
          <w:numId w:val="1"/>
        </w:numPr>
        <w:spacing w:after="120"/>
      </w:pPr>
      <w:r>
        <w:t>nominalny wzrost 11,4% r/r,</w:t>
      </w:r>
    </w:p>
    <w:p w14:paraId="6EDB62EE" w14:textId="69430E69" w:rsidR="00733C28" w:rsidRDefault="00733C28" w:rsidP="001E4E66">
      <w:pPr>
        <w:pStyle w:val="Podstawowy"/>
        <w:numPr>
          <w:ilvl w:val="1"/>
          <w:numId w:val="1"/>
        </w:numPr>
        <w:spacing w:after="120"/>
      </w:pPr>
      <w:r>
        <w:t>uwzględniając inflację – niższy o 2,6% r/r.</w:t>
      </w:r>
    </w:p>
    <w:p w14:paraId="54ACDF4D" w14:textId="62B4AE95" w:rsidR="00733C28" w:rsidRPr="001E4E66" w:rsidRDefault="00733C28" w:rsidP="001E4E66">
      <w:pPr>
        <w:pStyle w:val="Podstawowy"/>
        <w:spacing w:before="240" w:after="120"/>
        <w:rPr>
          <w:b/>
        </w:rPr>
      </w:pPr>
      <w:r w:rsidRPr="001E4E66">
        <w:rPr>
          <w:b/>
        </w:rPr>
        <w:t>Zatrudnienie w pomocy społecznej:</w:t>
      </w:r>
    </w:p>
    <w:p w14:paraId="489A799F" w14:textId="09242CD3" w:rsidR="00733C28" w:rsidRDefault="00733C28" w:rsidP="001E4E66">
      <w:pPr>
        <w:pStyle w:val="Podstawowy"/>
        <w:numPr>
          <w:ilvl w:val="0"/>
          <w:numId w:val="2"/>
        </w:numPr>
        <w:spacing w:after="120"/>
      </w:pPr>
      <w:r>
        <w:t>7304 zatrudnionych osób (o 94 więcej niż w 2021 r.),</w:t>
      </w:r>
    </w:p>
    <w:p w14:paraId="4BD84DC1" w14:textId="7D9F1A61" w:rsidR="00733C28" w:rsidRDefault="00733C28" w:rsidP="001E4E66">
      <w:pPr>
        <w:pStyle w:val="Podstawowy"/>
        <w:numPr>
          <w:ilvl w:val="0"/>
          <w:numId w:val="2"/>
        </w:numPr>
        <w:spacing w:after="120"/>
      </w:pPr>
      <w:r>
        <w:t>51% pracowników i pracownic socjalnych posiada specjalizację,</w:t>
      </w:r>
    </w:p>
    <w:p w14:paraId="5BC4093A" w14:textId="7B935F1C" w:rsidR="00733C28" w:rsidRDefault="00733C28" w:rsidP="001E4E66">
      <w:pPr>
        <w:pStyle w:val="Podstawowy"/>
        <w:numPr>
          <w:ilvl w:val="0"/>
          <w:numId w:val="2"/>
        </w:numPr>
        <w:spacing w:after="120"/>
      </w:pPr>
      <w:r>
        <w:t>19,4% ośrodków posiada zespół pracy socjalnej,</w:t>
      </w:r>
    </w:p>
    <w:p w14:paraId="5FB4C003" w14:textId="37C8029C" w:rsidR="00733C28" w:rsidRDefault="00733C28" w:rsidP="001E4E66">
      <w:pPr>
        <w:pStyle w:val="Podstawowy"/>
        <w:numPr>
          <w:ilvl w:val="0"/>
          <w:numId w:val="2"/>
        </w:numPr>
        <w:spacing w:after="120"/>
      </w:pPr>
      <w:r>
        <w:t>25 jednostek nie spełniało ustawowych wymogów dotyczących zatrudnienia.</w:t>
      </w:r>
    </w:p>
    <w:p w14:paraId="3E60ACFF" w14:textId="077ADC9F" w:rsidR="00733C28" w:rsidRPr="001E4E66" w:rsidRDefault="00733C28" w:rsidP="001E4E66">
      <w:pPr>
        <w:pStyle w:val="Podstawowy"/>
        <w:spacing w:before="240" w:after="120"/>
        <w:rPr>
          <w:b/>
        </w:rPr>
      </w:pPr>
      <w:r w:rsidRPr="001E4E66">
        <w:rPr>
          <w:b/>
        </w:rPr>
        <w:t>Korzystający z pomocy społecznej:</w:t>
      </w:r>
    </w:p>
    <w:p w14:paraId="0F6E7C15" w14:textId="68981DE2" w:rsidR="00733C28" w:rsidRDefault="00733C28" w:rsidP="001E4E66">
      <w:pPr>
        <w:pStyle w:val="Podstawowy"/>
        <w:numPr>
          <w:ilvl w:val="0"/>
          <w:numId w:val="3"/>
        </w:numPr>
        <w:spacing w:after="120"/>
      </w:pPr>
      <w:r>
        <w:t>korzystający z pomocy:</w:t>
      </w:r>
    </w:p>
    <w:p w14:paraId="2EBF4763" w14:textId="0087F763" w:rsidR="00733C28" w:rsidRDefault="00733C28" w:rsidP="001E4E66">
      <w:pPr>
        <w:pStyle w:val="Podstawowy"/>
        <w:numPr>
          <w:ilvl w:val="1"/>
          <w:numId w:val="3"/>
        </w:numPr>
        <w:spacing w:after="120"/>
      </w:pPr>
      <w:r>
        <w:t>111,8 tys. osób (-7,9%),</w:t>
      </w:r>
    </w:p>
    <w:p w14:paraId="017BAC27" w14:textId="63B3F6ED" w:rsidR="00733C28" w:rsidRDefault="00733C28" w:rsidP="001E4E66">
      <w:pPr>
        <w:pStyle w:val="Podstawowy"/>
        <w:numPr>
          <w:ilvl w:val="1"/>
          <w:numId w:val="3"/>
        </w:numPr>
        <w:spacing w:after="120"/>
      </w:pPr>
      <w:r>
        <w:t>54,3 tys. rodzin (-6,1%),</w:t>
      </w:r>
    </w:p>
    <w:p w14:paraId="0A14BE7D" w14:textId="34A8330C" w:rsidR="00733C28" w:rsidRDefault="00733C28" w:rsidP="001E4E66">
      <w:pPr>
        <w:pStyle w:val="Podstawowy"/>
        <w:numPr>
          <w:ilvl w:val="1"/>
          <w:numId w:val="3"/>
        </w:numPr>
        <w:spacing w:after="120"/>
      </w:pPr>
      <w:r>
        <w:t>12,2 tys. rodzin z 1-3 dzieci (-7,1%),</w:t>
      </w:r>
    </w:p>
    <w:p w14:paraId="55359BF5" w14:textId="33BB16A5" w:rsidR="00733C28" w:rsidRDefault="00733C28" w:rsidP="001E4E66">
      <w:pPr>
        <w:pStyle w:val="Podstawowy"/>
        <w:numPr>
          <w:ilvl w:val="1"/>
          <w:numId w:val="3"/>
        </w:numPr>
        <w:spacing w:after="120"/>
      </w:pPr>
      <w:r>
        <w:t>2,3 tys. rodzin z 4 i więcej dzieci (-1,7%),</w:t>
      </w:r>
    </w:p>
    <w:p w14:paraId="2B609621" w14:textId="7D547F70" w:rsidR="00733C28" w:rsidRDefault="00733C28" w:rsidP="001E4E66">
      <w:pPr>
        <w:pStyle w:val="Podstawowy"/>
        <w:numPr>
          <w:ilvl w:val="1"/>
          <w:numId w:val="3"/>
        </w:numPr>
        <w:spacing w:after="120"/>
      </w:pPr>
      <w:r>
        <w:t>4,9 tys. rodzin niepełnych (-5,2%),</w:t>
      </w:r>
    </w:p>
    <w:p w14:paraId="2DA9E094" w14:textId="0FFB5B40" w:rsidR="00733C28" w:rsidRDefault="00733C28" w:rsidP="001E4E66">
      <w:pPr>
        <w:pStyle w:val="Podstawowy"/>
        <w:numPr>
          <w:ilvl w:val="1"/>
          <w:numId w:val="3"/>
        </w:numPr>
        <w:spacing w:after="120"/>
      </w:pPr>
      <w:r>
        <w:t>12,3 tys. rodzin emerytów i rencistów (-4,8%).</w:t>
      </w:r>
    </w:p>
    <w:p w14:paraId="021EF426" w14:textId="734F21BB" w:rsidR="00733C28" w:rsidRDefault="00733C28" w:rsidP="001E4E66">
      <w:pPr>
        <w:pStyle w:val="Podstawowy"/>
        <w:numPr>
          <w:ilvl w:val="0"/>
          <w:numId w:val="3"/>
        </w:numPr>
        <w:spacing w:after="120"/>
      </w:pPr>
      <w:r>
        <w:t>korzystający ze świadczeń:</w:t>
      </w:r>
    </w:p>
    <w:p w14:paraId="3DCE08FB" w14:textId="2C671F31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ogółem – 89,3 tys. osób (-6,2%); 43,5 tys. rodzin (-6,6%),</w:t>
      </w:r>
    </w:p>
    <w:p w14:paraId="4A9EE2FE" w14:textId="1036EDC8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pieniężne – rodziny: 31,8 tys. (-9,9%),</w:t>
      </w:r>
    </w:p>
    <w:p w14:paraId="264CBB78" w14:textId="124DAE9C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niepieniężne – rodziny: 21,0 tys. (+0,2%)</w:t>
      </w:r>
    </w:p>
    <w:p w14:paraId="5EFD3DFF" w14:textId="49304B92" w:rsidR="00733C28" w:rsidRDefault="00733C28" w:rsidP="001E4E66">
      <w:pPr>
        <w:pStyle w:val="Podstawowy"/>
        <w:numPr>
          <w:ilvl w:val="0"/>
          <w:numId w:val="3"/>
        </w:numPr>
        <w:spacing w:after="120"/>
      </w:pPr>
      <w:r>
        <w:t>powody przyznania pomocy:</w:t>
      </w:r>
    </w:p>
    <w:p w14:paraId="5CD00305" w14:textId="63F8ABBC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ubóstwo – 24,2 tys. (-5,7%),</w:t>
      </w:r>
    </w:p>
    <w:p w14:paraId="55E12AFB" w14:textId="7B761842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długotrwała lub ciężka choroba – 23,3 tys. (-4,4%),</w:t>
      </w:r>
    </w:p>
    <w:p w14:paraId="7C8D9595" w14:textId="74AFD6A8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niepełnosprawność – 22,4 tys. (-6,0%),</w:t>
      </w:r>
    </w:p>
    <w:p w14:paraId="18CAE1DF" w14:textId="4645756D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bezrobocie – 10,7 tys. (-13,7%),</w:t>
      </w:r>
    </w:p>
    <w:p w14:paraId="71B6B2AF" w14:textId="3E740642" w:rsidR="001E4E66" w:rsidRDefault="001E4E66" w:rsidP="001E4E66">
      <w:pPr>
        <w:pStyle w:val="Podstawowy"/>
        <w:numPr>
          <w:ilvl w:val="1"/>
          <w:numId w:val="3"/>
        </w:numPr>
        <w:spacing w:after="120"/>
      </w:pPr>
      <w:r>
        <w:t>bezradność w sprawach opiekuńczo-wychowawczych – 6,8 tys. (-10,2%),</w:t>
      </w:r>
    </w:p>
    <w:p w14:paraId="3B2BD5CF" w14:textId="63B59C49" w:rsidR="00733C28" w:rsidRDefault="001E4E66" w:rsidP="001E4E66">
      <w:pPr>
        <w:pStyle w:val="Podstawowy"/>
        <w:numPr>
          <w:ilvl w:val="1"/>
          <w:numId w:val="3"/>
        </w:numPr>
        <w:spacing w:after="120"/>
      </w:pPr>
      <w:r>
        <w:lastRenderedPageBreak/>
        <w:t>trudności w integracji osób z doświadczeniem migracji – 117 (+468%)</w:t>
      </w:r>
    </w:p>
    <w:p w14:paraId="5BB400F8" w14:textId="0604B45C" w:rsidR="00733C28" w:rsidRPr="001E4E66" w:rsidRDefault="00733C28" w:rsidP="001E4E66">
      <w:pPr>
        <w:pStyle w:val="Podstawowy"/>
        <w:spacing w:before="240" w:after="120"/>
        <w:rPr>
          <w:b/>
        </w:rPr>
      </w:pPr>
      <w:r w:rsidRPr="001E4E66">
        <w:rPr>
          <w:b/>
        </w:rPr>
        <w:t>Zasoby instytucjonalne:</w:t>
      </w:r>
    </w:p>
    <w:p w14:paraId="7D87E1F1" w14:textId="37442348" w:rsidR="00733C28" w:rsidRDefault="00733C28" w:rsidP="001E4E66">
      <w:pPr>
        <w:pStyle w:val="Podstawowy"/>
        <w:numPr>
          <w:ilvl w:val="0"/>
          <w:numId w:val="4"/>
        </w:numPr>
        <w:spacing w:after="120"/>
      </w:pPr>
      <w:r>
        <w:t>22 centra integracji społecznej,</w:t>
      </w:r>
    </w:p>
    <w:p w14:paraId="4C0A5B98" w14:textId="4DA600CA" w:rsidR="00733C28" w:rsidRDefault="00733C28" w:rsidP="001E4E66">
      <w:pPr>
        <w:pStyle w:val="Podstawowy"/>
        <w:numPr>
          <w:ilvl w:val="0"/>
          <w:numId w:val="4"/>
        </w:numPr>
        <w:spacing w:after="120"/>
      </w:pPr>
      <w:r>
        <w:t>13 klubów integracji społecznej,</w:t>
      </w:r>
    </w:p>
    <w:p w14:paraId="747932A0" w14:textId="2515C5BE" w:rsidR="00733C28" w:rsidRDefault="001E4E66" w:rsidP="001E4E66">
      <w:pPr>
        <w:pStyle w:val="Podstawowy"/>
        <w:numPr>
          <w:ilvl w:val="0"/>
          <w:numId w:val="4"/>
        </w:numPr>
        <w:spacing w:after="120"/>
      </w:pPr>
      <w:r>
        <w:t>2 zakłady aktywności zawodowej,</w:t>
      </w:r>
    </w:p>
    <w:p w14:paraId="4F4FD301" w14:textId="0E729210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69 spółdzielni socjalnych (-3),</w:t>
      </w:r>
    </w:p>
    <w:p w14:paraId="5C5A271C" w14:textId="46BEACE2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4 ośrodki wsparcia ekonomii społecznej,</w:t>
      </w:r>
    </w:p>
    <w:p w14:paraId="1BFB3392" w14:textId="5AE79AAD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111 przedsiębiorstw społecznych (+20),</w:t>
      </w:r>
    </w:p>
    <w:p w14:paraId="0225CD5F" w14:textId="6F733D68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49 uniwersytetów trzeciego wieku,</w:t>
      </w:r>
    </w:p>
    <w:p w14:paraId="3307AF53" w14:textId="17A663F0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498 klubów i miejsc spotkań dla seniorów i seniorek (+31),</w:t>
      </w:r>
    </w:p>
    <w:p w14:paraId="6554AC14" w14:textId="7B0E5C31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52 kluby samopomocy (+3),</w:t>
      </w:r>
    </w:p>
    <w:p w14:paraId="70F3BE9B" w14:textId="6ADF0ACA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12 klubów samopomocy dla osób z zaburzeniami psychicznymi,</w:t>
      </w:r>
    </w:p>
    <w:p w14:paraId="09ADE963" w14:textId="539722A9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30 dziennych domów pomocy (+1),</w:t>
      </w:r>
    </w:p>
    <w:p w14:paraId="68198BE1" w14:textId="1A841789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45 klubów „Senior+” (+6),</w:t>
      </w:r>
    </w:p>
    <w:p w14:paraId="5887939F" w14:textId="1414D68C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17 domów „Senior+” (+1),</w:t>
      </w:r>
    </w:p>
    <w:p w14:paraId="7E7780B6" w14:textId="2CD7EB44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71 środowiskowych domów samopomocy (+1),</w:t>
      </w:r>
    </w:p>
    <w:p w14:paraId="3437E518" w14:textId="661848C3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40 domów pomocy społecznej (+1),</w:t>
      </w:r>
    </w:p>
    <w:p w14:paraId="4CAC4CA9" w14:textId="4ADC8169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19 schronisk dla osób w kryzysie bezdomności (+1) i 11 schronisk z usługami opiekuńczymi (-2)</w:t>
      </w:r>
    </w:p>
    <w:p w14:paraId="085D74B6" w14:textId="6844B56F" w:rsidR="001E4E66" w:rsidRDefault="001E4E66" w:rsidP="001E4E66">
      <w:pPr>
        <w:pStyle w:val="Podstawowy"/>
        <w:numPr>
          <w:ilvl w:val="0"/>
          <w:numId w:val="4"/>
        </w:numPr>
        <w:spacing w:after="120"/>
      </w:pPr>
      <w:r>
        <w:t>67 mieszkań chronionych (+6).</w:t>
      </w:r>
    </w:p>
    <w:p w14:paraId="0801B9EF" w14:textId="1439E11C" w:rsidR="00733C28" w:rsidRPr="001E4E66" w:rsidRDefault="001E4E66" w:rsidP="001E4E66">
      <w:pPr>
        <w:pStyle w:val="Podstawowy"/>
        <w:spacing w:before="240" w:after="120"/>
        <w:rPr>
          <w:b/>
        </w:rPr>
      </w:pPr>
      <w:r w:rsidRPr="001E4E66">
        <w:rPr>
          <w:b/>
        </w:rPr>
        <w:t>Wsparcie rodziny i piecza zastępcza:</w:t>
      </w:r>
    </w:p>
    <w:p w14:paraId="0B7DA4C0" w14:textId="5E0EFA17" w:rsidR="001E4E66" w:rsidRDefault="001E4E66" w:rsidP="001E4E66">
      <w:pPr>
        <w:pStyle w:val="Podstawowy"/>
        <w:numPr>
          <w:ilvl w:val="0"/>
          <w:numId w:val="5"/>
        </w:numPr>
        <w:spacing w:after="120"/>
      </w:pPr>
      <w:r>
        <w:t>2156 rodzin skorzystało z asystentury rodzin (+32),</w:t>
      </w:r>
    </w:p>
    <w:p w14:paraId="7F9D3724" w14:textId="7CAF32C6" w:rsidR="001E4E66" w:rsidRDefault="001E4E66" w:rsidP="001E4E66">
      <w:pPr>
        <w:pStyle w:val="Podstawowy"/>
        <w:numPr>
          <w:ilvl w:val="0"/>
          <w:numId w:val="5"/>
        </w:numPr>
        <w:spacing w:after="120"/>
      </w:pPr>
      <w:r>
        <w:t>placówki:</w:t>
      </w:r>
    </w:p>
    <w:p w14:paraId="683BCBDD" w14:textId="062E8382" w:rsidR="001E4E66" w:rsidRDefault="001E4E66" w:rsidP="001E4E66">
      <w:pPr>
        <w:pStyle w:val="Podstawowy"/>
        <w:numPr>
          <w:ilvl w:val="1"/>
          <w:numId w:val="5"/>
        </w:numPr>
        <w:spacing w:after="120"/>
      </w:pPr>
      <w:r>
        <w:t>pracy podwórkowej prowadzonej przez wychowawcę: 33 (-10),</w:t>
      </w:r>
    </w:p>
    <w:p w14:paraId="4177BAB0" w14:textId="3493D53D" w:rsidR="001E4E66" w:rsidRDefault="001E4E66" w:rsidP="001E4E66">
      <w:pPr>
        <w:pStyle w:val="Podstawowy"/>
        <w:numPr>
          <w:ilvl w:val="1"/>
          <w:numId w:val="5"/>
        </w:numPr>
        <w:spacing w:after="120"/>
      </w:pPr>
      <w:r>
        <w:t>wsparcia dziennego: 98 (-2),</w:t>
      </w:r>
    </w:p>
    <w:p w14:paraId="0FBF5080" w14:textId="435D40C4" w:rsidR="001E4E66" w:rsidRDefault="001E4E66" w:rsidP="001E4E66">
      <w:pPr>
        <w:pStyle w:val="Podstawowy"/>
        <w:numPr>
          <w:ilvl w:val="0"/>
          <w:numId w:val="5"/>
        </w:numPr>
        <w:spacing w:after="120"/>
      </w:pPr>
      <w:r>
        <w:t>5364 dzieci w pieczy zastępczej (+2,3%),</w:t>
      </w:r>
    </w:p>
    <w:p w14:paraId="6B8A7418" w14:textId="75BE9AF7" w:rsidR="001E4E66" w:rsidRDefault="001E4E66" w:rsidP="001E4E66">
      <w:pPr>
        <w:pStyle w:val="Podstawowy"/>
        <w:numPr>
          <w:ilvl w:val="0"/>
          <w:numId w:val="5"/>
        </w:numPr>
        <w:spacing w:after="120"/>
      </w:pPr>
      <w:r>
        <w:t xml:space="preserve">55,7% </w:t>
      </w:r>
      <w:r w:rsidR="00AA1D22">
        <w:t xml:space="preserve">dzieci </w:t>
      </w:r>
      <w:bookmarkStart w:id="0" w:name="_GoBack"/>
      <w:bookmarkEnd w:id="0"/>
      <w:r>
        <w:t>przebywało w pieczy ponad 3 lata (-1,7%),</w:t>
      </w:r>
    </w:p>
    <w:p w14:paraId="0DF92E66" w14:textId="77777777" w:rsidR="001E4E66" w:rsidRDefault="001E4E66" w:rsidP="001E4E66">
      <w:pPr>
        <w:pStyle w:val="Podstawowy"/>
        <w:numPr>
          <w:ilvl w:val="0"/>
          <w:numId w:val="5"/>
        </w:numPr>
        <w:spacing w:after="120"/>
      </w:pPr>
      <w:r>
        <w:t>80,1% dzieci przebywa w pieczy rodzinnej (-0,5 p.p.),</w:t>
      </w:r>
    </w:p>
    <w:p w14:paraId="1CF73CD7" w14:textId="034B1A96" w:rsidR="00733C28" w:rsidRDefault="001E4E66" w:rsidP="001E4E66">
      <w:pPr>
        <w:pStyle w:val="Podstawowy"/>
        <w:numPr>
          <w:ilvl w:val="0"/>
          <w:numId w:val="5"/>
        </w:numPr>
        <w:spacing w:after="120"/>
      </w:pPr>
      <w:r>
        <w:t>42,3% przebywa w pieczy z powodu bezradności rodziców w sprawach opiekuńczo-wychowawczych.</w:t>
      </w:r>
    </w:p>
    <w:sectPr w:rsidR="0073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838"/>
    <w:multiLevelType w:val="hybridMultilevel"/>
    <w:tmpl w:val="97BC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F73"/>
    <w:multiLevelType w:val="hybridMultilevel"/>
    <w:tmpl w:val="F0AE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3664"/>
    <w:multiLevelType w:val="hybridMultilevel"/>
    <w:tmpl w:val="C84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B94"/>
    <w:multiLevelType w:val="hybridMultilevel"/>
    <w:tmpl w:val="9DAA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5441A"/>
    <w:multiLevelType w:val="hybridMultilevel"/>
    <w:tmpl w:val="D3BAF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97"/>
    <w:rsid w:val="001709A2"/>
    <w:rsid w:val="001E4E66"/>
    <w:rsid w:val="00287374"/>
    <w:rsid w:val="00733C28"/>
    <w:rsid w:val="00AA1D22"/>
    <w:rsid w:val="00C56B1D"/>
    <w:rsid w:val="00E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4203"/>
  <w15:chartTrackingRefBased/>
  <w15:docId w15:val="{4A8FFFBC-9DC9-4798-AA68-A5F33D2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1709A2"/>
    <w:rPr>
      <w:rFonts w:ascii="Arial" w:hAnsi="Arial"/>
    </w:rPr>
  </w:style>
  <w:style w:type="character" w:customStyle="1" w:styleId="PodstawowyZnak">
    <w:name w:val="Podstawowy Znak"/>
    <w:basedOn w:val="Domylnaczcionkaakapitu"/>
    <w:link w:val="Podstawowy"/>
    <w:rsid w:val="001709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Rutkowski</dc:creator>
  <cp:keywords/>
  <dc:description/>
  <cp:lastModifiedBy>Mateusz Rutkowski</cp:lastModifiedBy>
  <cp:revision>3</cp:revision>
  <dcterms:created xsi:type="dcterms:W3CDTF">2023-08-10T12:23:00Z</dcterms:created>
  <dcterms:modified xsi:type="dcterms:W3CDTF">2023-08-10T13:09:00Z</dcterms:modified>
</cp:coreProperties>
</file>