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2EFA" w14:textId="77777777" w:rsidR="006F68CC" w:rsidRPr="006F68CC" w:rsidRDefault="006F68CC" w:rsidP="006F68CC"/>
    <w:p w14:paraId="0BEE98D2" w14:textId="77777777" w:rsidR="006F68CC" w:rsidRPr="006F68CC" w:rsidRDefault="006F68CC" w:rsidP="006F68CC">
      <w:pPr>
        <w:pStyle w:val="Nagwek1"/>
        <w:numPr>
          <w:ilvl w:val="0"/>
          <w:numId w:val="0"/>
        </w:numPr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r w:rsidRPr="006F68CC">
        <w:rPr>
          <w:b w:val="0"/>
          <w:bCs w:val="0"/>
          <w:sz w:val="24"/>
          <w:szCs w:val="24"/>
        </w:rPr>
        <w:t>/projekt/</w:t>
      </w:r>
    </w:p>
    <w:p w14:paraId="6ED3FD82" w14:textId="77777777" w:rsidR="006F68CC" w:rsidRPr="006F68CC" w:rsidRDefault="006F68CC" w:rsidP="006F68CC"/>
    <w:p w14:paraId="5E7B8093" w14:textId="5279041B" w:rsidR="001A2F11" w:rsidRPr="006F68CC" w:rsidRDefault="001A2F11" w:rsidP="006F68CC">
      <w:pPr>
        <w:pStyle w:val="Tytu"/>
      </w:pPr>
      <w:r w:rsidRPr="006F68CC">
        <w:t xml:space="preserve">UCHWAŁA NR </w:t>
      </w:r>
    </w:p>
    <w:p w14:paraId="43007CD1" w14:textId="77777777" w:rsidR="00CF0CB3" w:rsidRPr="006F68CC" w:rsidRDefault="00CF0CB3" w:rsidP="006F68CC">
      <w:pPr>
        <w:pStyle w:val="Tytu"/>
      </w:pPr>
    </w:p>
    <w:p w14:paraId="04C1299B" w14:textId="77777777" w:rsidR="001A2F11" w:rsidRPr="006F68CC" w:rsidRDefault="001A2F11" w:rsidP="006F68CC">
      <w:pPr>
        <w:pStyle w:val="Tytu"/>
      </w:pPr>
      <w:r w:rsidRPr="006F68CC">
        <w:t>SEJMIKU WOJEWÓDZTWA POMORSKIEGO</w:t>
      </w:r>
    </w:p>
    <w:p w14:paraId="0165E452" w14:textId="77777777" w:rsidR="001A2F11" w:rsidRPr="006F68CC" w:rsidRDefault="00FF7F7F" w:rsidP="006F68CC">
      <w:pPr>
        <w:pStyle w:val="Tytu"/>
      </w:pPr>
      <w:r w:rsidRPr="006F68CC">
        <w:t xml:space="preserve">z dnia </w:t>
      </w:r>
      <w:r w:rsidR="00CF0CB3" w:rsidRPr="006F68CC">
        <w:t xml:space="preserve">                     </w:t>
      </w:r>
      <w:r w:rsidR="001A2F11" w:rsidRPr="006F68CC">
        <w:t>roku</w:t>
      </w:r>
    </w:p>
    <w:p w14:paraId="3CF4DC6E" w14:textId="77777777" w:rsidR="002150C5" w:rsidRPr="00FB6645" w:rsidRDefault="002150C5" w:rsidP="002572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B93C1C" w14:textId="77777777" w:rsidR="001A2F11" w:rsidRPr="00FB6645" w:rsidRDefault="001A2F11" w:rsidP="00FB6645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</w:rPr>
      </w:pPr>
      <w:r w:rsidRPr="00FB6645">
        <w:rPr>
          <w:rFonts w:ascii="Arial" w:hAnsi="Arial" w:cs="Arial"/>
          <w:b/>
          <w:bCs/>
          <w:i/>
        </w:rPr>
        <w:t xml:space="preserve">w sprawie </w:t>
      </w:r>
      <w:r w:rsidR="003D0D90" w:rsidRPr="00FB6645">
        <w:rPr>
          <w:rFonts w:ascii="Arial" w:hAnsi="Arial" w:cs="Arial"/>
          <w:b/>
          <w:bCs/>
          <w:i/>
        </w:rPr>
        <w:t>utworzenia</w:t>
      </w:r>
      <w:r w:rsidRPr="00FB6645">
        <w:rPr>
          <w:rFonts w:ascii="Arial" w:hAnsi="Arial" w:cs="Arial"/>
          <w:b/>
          <w:bCs/>
          <w:i/>
        </w:rPr>
        <w:t xml:space="preserve"> obszaru ograniczonego użytkowania wokół </w:t>
      </w:r>
      <w:r w:rsidR="00CF0CB3" w:rsidRPr="00FB6645">
        <w:rPr>
          <w:rFonts w:ascii="Arial" w:hAnsi="Arial" w:cs="Arial"/>
          <w:b/>
          <w:bCs/>
          <w:i/>
        </w:rPr>
        <w:t>linii kolejowej E65</w:t>
      </w:r>
    </w:p>
    <w:p w14:paraId="1543BC71" w14:textId="77777777" w:rsidR="001A2F11" w:rsidRPr="00FB6645" w:rsidRDefault="001A2F11" w:rsidP="00FB6645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B6645">
        <w:rPr>
          <w:rFonts w:ascii="Arial" w:hAnsi="Arial" w:cs="Arial"/>
          <w:sz w:val="22"/>
          <w:szCs w:val="22"/>
        </w:rPr>
        <w:t>Na podstawie art. 18 pkt 20, art. 89 ust. 1 ustawy z dnia 5 czerwca 1998 r. o samorz</w:t>
      </w:r>
      <w:r w:rsidR="008D2A24" w:rsidRPr="00FB6645">
        <w:rPr>
          <w:rFonts w:ascii="Arial" w:hAnsi="Arial" w:cs="Arial"/>
          <w:sz w:val="22"/>
          <w:szCs w:val="22"/>
        </w:rPr>
        <w:t>ądzie województwa (</w:t>
      </w:r>
      <w:proofErr w:type="spellStart"/>
      <w:r w:rsidR="00D91681" w:rsidRPr="00FB6645">
        <w:rPr>
          <w:rFonts w:ascii="Arial" w:hAnsi="Arial" w:cs="Arial"/>
          <w:sz w:val="22"/>
          <w:szCs w:val="22"/>
        </w:rPr>
        <w:t>t.j</w:t>
      </w:r>
      <w:proofErr w:type="spellEnd"/>
      <w:r w:rsidR="00D91681" w:rsidRPr="00FB6645">
        <w:rPr>
          <w:rFonts w:ascii="Arial" w:hAnsi="Arial" w:cs="Arial"/>
          <w:sz w:val="22"/>
          <w:szCs w:val="22"/>
        </w:rPr>
        <w:t xml:space="preserve">. </w:t>
      </w:r>
      <w:r w:rsidR="008D2A24" w:rsidRPr="00FB6645">
        <w:rPr>
          <w:rFonts w:ascii="Arial" w:hAnsi="Arial" w:cs="Arial"/>
          <w:sz w:val="22"/>
          <w:szCs w:val="22"/>
        </w:rPr>
        <w:t>Dz. U. z 20</w:t>
      </w:r>
      <w:r w:rsidR="00257224" w:rsidRPr="00FB6645">
        <w:rPr>
          <w:rFonts w:ascii="Arial" w:hAnsi="Arial" w:cs="Arial"/>
          <w:sz w:val="22"/>
          <w:szCs w:val="22"/>
        </w:rPr>
        <w:t>25</w:t>
      </w:r>
      <w:r w:rsidRPr="00FB6645">
        <w:rPr>
          <w:rFonts w:ascii="Arial" w:hAnsi="Arial" w:cs="Arial"/>
          <w:sz w:val="22"/>
          <w:szCs w:val="22"/>
        </w:rPr>
        <w:t xml:space="preserve"> r. poz. </w:t>
      </w:r>
      <w:r w:rsidR="00D91681" w:rsidRPr="00FB6645">
        <w:rPr>
          <w:rFonts w:ascii="Arial" w:hAnsi="Arial" w:cs="Arial"/>
          <w:sz w:val="22"/>
          <w:szCs w:val="22"/>
        </w:rPr>
        <w:t>581</w:t>
      </w:r>
      <w:r w:rsidR="00F42A8B" w:rsidRPr="00FB6645">
        <w:rPr>
          <w:rFonts w:ascii="Arial" w:hAnsi="Arial" w:cs="Arial"/>
          <w:sz w:val="22"/>
          <w:szCs w:val="22"/>
        </w:rPr>
        <w:t xml:space="preserve"> ze zm.</w:t>
      </w:r>
      <w:r w:rsidR="00F42A8B" w:rsidRPr="00FB66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8D2A24" w:rsidRPr="00FB6645">
        <w:rPr>
          <w:rFonts w:ascii="Arial" w:hAnsi="Arial" w:cs="Arial"/>
          <w:sz w:val="22"/>
          <w:szCs w:val="22"/>
        </w:rPr>
        <w:t>)</w:t>
      </w:r>
      <w:r w:rsidRPr="00FB6645">
        <w:rPr>
          <w:rFonts w:ascii="Arial" w:hAnsi="Arial" w:cs="Arial"/>
          <w:sz w:val="22"/>
          <w:szCs w:val="22"/>
        </w:rPr>
        <w:t xml:space="preserve"> oraz art. 135 ust. 1, ust. 2, ust. 3a i ust. 3b ustawy z dnia 27 kwietnia 2001 r. Prawo ochrony środowiska (</w:t>
      </w:r>
      <w:proofErr w:type="spellStart"/>
      <w:r w:rsidR="00D91681" w:rsidRPr="00FB6645">
        <w:rPr>
          <w:rFonts w:ascii="Arial" w:hAnsi="Arial" w:cs="Arial"/>
          <w:sz w:val="22"/>
          <w:szCs w:val="22"/>
        </w:rPr>
        <w:t>t.j</w:t>
      </w:r>
      <w:proofErr w:type="spellEnd"/>
      <w:r w:rsidR="00D91681" w:rsidRPr="00FB6645">
        <w:rPr>
          <w:rFonts w:ascii="Arial" w:hAnsi="Arial" w:cs="Arial"/>
          <w:sz w:val="22"/>
          <w:szCs w:val="22"/>
        </w:rPr>
        <w:t xml:space="preserve">. </w:t>
      </w:r>
      <w:r w:rsidR="00CF0CB3" w:rsidRPr="00FB6645">
        <w:rPr>
          <w:rFonts w:ascii="Arial" w:hAnsi="Arial" w:cs="Arial"/>
          <w:bCs/>
          <w:sz w:val="22"/>
          <w:szCs w:val="22"/>
        </w:rPr>
        <w:t>Dz. U. z 2025 r. poz. 647 ze zm.</w:t>
      </w:r>
      <w:r w:rsidRPr="00FB66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FB6645">
        <w:rPr>
          <w:rFonts w:ascii="Arial" w:hAnsi="Arial" w:cs="Arial"/>
          <w:sz w:val="22"/>
          <w:szCs w:val="22"/>
        </w:rPr>
        <w:t>)</w:t>
      </w:r>
    </w:p>
    <w:p w14:paraId="62A0EC5A" w14:textId="77777777" w:rsidR="001A2F11" w:rsidRPr="00FB6645" w:rsidRDefault="001A2F11" w:rsidP="00257224">
      <w:pPr>
        <w:autoSpaceDE w:val="0"/>
        <w:autoSpaceDN w:val="0"/>
        <w:adjustRightInd w:val="0"/>
        <w:spacing w:before="480" w:line="276" w:lineRule="auto"/>
        <w:jc w:val="both"/>
        <w:rPr>
          <w:rFonts w:ascii="Arial" w:hAnsi="Arial" w:cs="Arial"/>
          <w:b/>
        </w:rPr>
      </w:pPr>
      <w:r w:rsidRPr="00FB6645">
        <w:rPr>
          <w:rFonts w:ascii="Arial" w:hAnsi="Arial" w:cs="Arial"/>
          <w:b/>
        </w:rPr>
        <w:t xml:space="preserve">Sejmik Województwa Pomorskiego uchwala, co następuje: </w:t>
      </w:r>
    </w:p>
    <w:p w14:paraId="52982677" w14:textId="77777777" w:rsidR="001A2F11" w:rsidRPr="006F68CC" w:rsidRDefault="001A2F11" w:rsidP="006F68CC">
      <w:pPr>
        <w:pStyle w:val="Podtytu"/>
      </w:pPr>
      <w:r w:rsidRPr="006F68CC">
        <w:t>§ 1</w:t>
      </w:r>
    </w:p>
    <w:p w14:paraId="3208810B" w14:textId="77777777" w:rsidR="001A2F11" w:rsidRPr="00FB6645" w:rsidRDefault="00A334F3" w:rsidP="00FB6645">
      <w:p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Określa </w:t>
      </w:r>
      <w:r w:rsidR="001A2F11" w:rsidRPr="00FB6645">
        <w:rPr>
          <w:rFonts w:ascii="Arial" w:hAnsi="Arial" w:cs="Arial"/>
        </w:rPr>
        <w:t xml:space="preserve">się obszar ograniczonego użytkowania </w:t>
      </w:r>
      <w:r w:rsidR="001A2F11" w:rsidRPr="00FB6645">
        <w:rPr>
          <w:rFonts w:ascii="Arial" w:hAnsi="Arial" w:cs="Arial"/>
          <w:bCs/>
        </w:rPr>
        <w:t xml:space="preserve">wokół </w:t>
      </w:r>
      <w:r w:rsidR="00CF0CB3" w:rsidRPr="00FB6645">
        <w:rPr>
          <w:rFonts w:ascii="Arial" w:hAnsi="Arial" w:cs="Arial"/>
          <w:bCs/>
        </w:rPr>
        <w:t>linii kolejowej E65, na odcinku przebiegającym przez teren województwa pomorskiego</w:t>
      </w:r>
      <w:r w:rsidR="00C72162" w:rsidRPr="00FB6645">
        <w:rPr>
          <w:rFonts w:ascii="Arial" w:hAnsi="Arial" w:cs="Arial"/>
          <w:bCs/>
        </w:rPr>
        <w:t>,</w:t>
      </w:r>
      <w:r w:rsidR="001A2F11" w:rsidRPr="00FB6645">
        <w:rPr>
          <w:rFonts w:ascii="Arial" w:hAnsi="Arial" w:cs="Arial"/>
        </w:rPr>
        <w:t xml:space="preserve"> zwany dalej „obszarem ograniczonego użytkowania”.</w:t>
      </w:r>
    </w:p>
    <w:p w14:paraId="0B4B465C" w14:textId="77777777" w:rsidR="001A2F11" w:rsidRPr="006F68CC" w:rsidRDefault="001A2F11" w:rsidP="006F68CC">
      <w:pPr>
        <w:pStyle w:val="Podtytu"/>
      </w:pPr>
      <w:r w:rsidRPr="006F68CC">
        <w:t>§</w:t>
      </w:r>
      <w:r w:rsidR="00961BA7" w:rsidRPr="006F68CC">
        <w:t xml:space="preserve"> </w:t>
      </w:r>
      <w:r w:rsidRPr="006F68CC">
        <w:t>2</w:t>
      </w:r>
    </w:p>
    <w:p w14:paraId="61D6F636" w14:textId="77777777" w:rsidR="001A2F11" w:rsidRPr="00FB6645" w:rsidRDefault="001A2F11" w:rsidP="00FB6645">
      <w:p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Ilekroć w uchwale jest mowa o:</w:t>
      </w:r>
    </w:p>
    <w:p w14:paraId="0EB057B4" w14:textId="77777777" w:rsidR="00C95290" w:rsidRPr="00FB6645" w:rsidRDefault="001A2F11" w:rsidP="00FB6645">
      <w:pPr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dopuszczalnym poziomie hałasu – rozumie się przez to wielkość określoną wskaźnikiem hałasu </w:t>
      </w:r>
      <w:proofErr w:type="spellStart"/>
      <w:r w:rsidRPr="00FB6645">
        <w:rPr>
          <w:rFonts w:ascii="Arial" w:hAnsi="Arial" w:cs="Arial"/>
          <w:bCs/>
        </w:rPr>
        <w:t>L</w:t>
      </w:r>
      <w:r w:rsidRPr="00FB6645">
        <w:rPr>
          <w:rFonts w:ascii="Arial" w:hAnsi="Arial" w:cs="Arial"/>
          <w:bCs/>
          <w:vertAlign w:val="subscript"/>
        </w:rPr>
        <w:t>AeqD</w:t>
      </w:r>
      <w:proofErr w:type="spellEnd"/>
      <w:r w:rsidRPr="00FB6645">
        <w:rPr>
          <w:rFonts w:ascii="Arial" w:hAnsi="Arial" w:cs="Arial"/>
          <w:bCs/>
        </w:rPr>
        <w:t xml:space="preserve"> lub </w:t>
      </w:r>
      <w:proofErr w:type="spellStart"/>
      <w:r w:rsidRPr="00FB6645">
        <w:rPr>
          <w:rFonts w:ascii="Arial" w:hAnsi="Arial" w:cs="Arial"/>
          <w:bCs/>
        </w:rPr>
        <w:t>L</w:t>
      </w:r>
      <w:r w:rsidRPr="00FB6645">
        <w:rPr>
          <w:rFonts w:ascii="Arial" w:hAnsi="Arial" w:cs="Arial"/>
          <w:bCs/>
          <w:vertAlign w:val="subscript"/>
        </w:rPr>
        <w:t>AeqN</w:t>
      </w:r>
      <w:proofErr w:type="spellEnd"/>
      <w:r w:rsidRPr="00FB6645">
        <w:rPr>
          <w:rFonts w:ascii="Arial" w:hAnsi="Arial" w:cs="Arial"/>
          <w:bCs/>
        </w:rPr>
        <w:t xml:space="preserve"> w rozumieniu ustawy z dnia 27 kwietnia 2001r. Prawo ochrony środowiska (Dz. U. z </w:t>
      </w:r>
      <w:r w:rsidR="00CF0CB3" w:rsidRPr="00FB6645">
        <w:rPr>
          <w:rFonts w:ascii="Arial" w:hAnsi="Arial" w:cs="Arial"/>
          <w:bCs/>
        </w:rPr>
        <w:t>2025 r. poz. 647 ze zm.</w:t>
      </w:r>
      <w:r w:rsidRPr="00FB6645">
        <w:rPr>
          <w:rFonts w:ascii="Arial" w:hAnsi="Arial" w:cs="Arial"/>
          <w:bCs/>
        </w:rPr>
        <w:t>);</w:t>
      </w:r>
      <w:r w:rsidR="00C95290" w:rsidRPr="00FB6645">
        <w:rPr>
          <w:rFonts w:ascii="Arial" w:hAnsi="Arial" w:cs="Arial"/>
          <w:bCs/>
        </w:rPr>
        <w:t xml:space="preserve"> </w:t>
      </w:r>
    </w:p>
    <w:p w14:paraId="1E213EF4" w14:textId="77777777" w:rsidR="00C95290" w:rsidRPr="00FB6645" w:rsidRDefault="00C95290" w:rsidP="00FB6645">
      <w:pPr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odpowiedniej izolacyjności akustycznej przegród budowlanych – rozumie się przez to</w:t>
      </w:r>
      <w:r w:rsidR="00495D30" w:rsidRPr="00FB6645">
        <w:rPr>
          <w:rFonts w:ascii="Arial" w:hAnsi="Arial" w:cs="Arial"/>
          <w:bCs/>
        </w:rPr>
        <w:t> </w:t>
      </w:r>
      <w:r w:rsidRPr="00FB6645">
        <w:rPr>
          <w:rFonts w:ascii="Arial" w:hAnsi="Arial" w:cs="Arial"/>
          <w:bCs/>
        </w:rPr>
        <w:t>izolacyjność akustyczną określoną zgodnie z Polskimi Normami w dziedzinie akustyki budowlanej;</w:t>
      </w:r>
    </w:p>
    <w:p w14:paraId="436BEFC5" w14:textId="77777777" w:rsidR="001A2F11" w:rsidRPr="00FB6645" w:rsidRDefault="00C95290" w:rsidP="00FB6645">
      <w:pPr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właściwym klimacie akustycznym w budynkach – rozumie się przez to poziom dźwięku zgodny z obowiązującymi Polskimi Normami w dziedzinie akustyki budowlanej.</w:t>
      </w:r>
    </w:p>
    <w:p w14:paraId="1EDA3F72" w14:textId="77777777" w:rsidR="001A2F11" w:rsidRPr="006F68CC" w:rsidRDefault="001A2F11" w:rsidP="006F68CC">
      <w:pPr>
        <w:pStyle w:val="Podtytu"/>
      </w:pPr>
      <w:r w:rsidRPr="006F68CC">
        <w:t>§</w:t>
      </w:r>
      <w:r w:rsidR="00961BA7" w:rsidRPr="006F68CC">
        <w:t xml:space="preserve"> </w:t>
      </w:r>
      <w:r w:rsidRPr="006F68CC">
        <w:t>3</w:t>
      </w:r>
    </w:p>
    <w:p w14:paraId="35C0BAF4" w14:textId="77777777" w:rsidR="001A2F11" w:rsidRPr="00FB6645" w:rsidRDefault="001A2F11" w:rsidP="00FB6645">
      <w:pPr>
        <w:numPr>
          <w:ilvl w:val="0"/>
          <w:numId w:val="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Granicę zewnętrzną obszaru ograniczonego użytkowania </w:t>
      </w:r>
      <w:r w:rsidR="00B5659F" w:rsidRPr="00FB6645">
        <w:rPr>
          <w:rFonts w:ascii="Arial" w:hAnsi="Arial" w:cs="Arial"/>
          <w:bCs/>
        </w:rPr>
        <w:t xml:space="preserve">dla terenów innych niż strefy śródmiejskie miast powyżej 100 tysięcy mieszkańców </w:t>
      </w:r>
      <w:r w:rsidRPr="00FB6645">
        <w:rPr>
          <w:rFonts w:ascii="Arial" w:hAnsi="Arial" w:cs="Arial"/>
          <w:bCs/>
        </w:rPr>
        <w:t xml:space="preserve">wyznacza się na podstawie </w:t>
      </w:r>
      <w:r w:rsidR="00A334F3" w:rsidRPr="00FB6645">
        <w:rPr>
          <w:rFonts w:ascii="Arial" w:hAnsi="Arial" w:cs="Arial"/>
          <w:bCs/>
        </w:rPr>
        <w:lastRenderedPageBreak/>
        <w:t xml:space="preserve">obwiedni </w:t>
      </w:r>
      <w:r w:rsidRPr="00FB6645">
        <w:rPr>
          <w:rFonts w:ascii="Arial" w:hAnsi="Arial" w:cs="Arial"/>
          <w:bCs/>
        </w:rPr>
        <w:t>izolinii równoważnego poziomu dźwięku A</w:t>
      </w:r>
      <w:r w:rsidR="00842CF6" w:rsidRPr="00FB6645">
        <w:rPr>
          <w:rFonts w:ascii="Arial" w:hAnsi="Arial" w:cs="Arial"/>
          <w:bCs/>
        </w:rPr>
        <w:t xml:space="preserve"> </w:t>
      </w:r>
      <w:proofErr w:type="spellStart"/>
      <w:r w:rsidR="00842CF6" w:rsidRPr="00FB6645">
        <w:rPr>
          <w:rFonts w:ascii="Arial" w:hAnsi="Arial" w:cs="Arial"/>
          <w:bCs/>
        </w:rPr>
        <w:t>L</w:t>
      </w:r>
      <w:r w:rsidR="00842CF6" w:rsidRPr="00FB6645">
        <w:rPr>
          <w:rFonts w:ascii="Arial" w:hAnsi="Arial" w:cs="Arial"/>
          <w:bCs/>
          <w:vertAlign w:val="subscript"/>
        </w:rPr>
        <w:t>AeqN</w:t>
      </w:r>
      <w:proofErr w:type="spellEnd"/>
      <w:r w:rsidR="00842CF6" w:rsidRPr="00FB6645">
        <w:rPr>
          <w:rFonts w:ascii="Arial" w:hAnsi="Arial" w:cs="Arial"/>
          <w:bCs/>
        </w:rPr>
        <w:t xml:space="preserve"> = </w:t>
      </w:r>
      <w:r w:rsidR="00B5659F" w:rsidRPr="00FB6645">
        <w:rPr>
          <w:rFonts w:ascii="Arial" w:hAnsi="Arial" w:cs="Arial"/>
          <w:bCs/>
        </w:rPr>
        <w:t>56</w:t>
      </w:r>
      <w:r w:rsidRPr="00FB6645">
        <w:rPr>
          <w:rFonts w:ascii="Arial" w:hAnsi="Arial" w:cs="Arial"/>
          <w:bCs/>
        </w:rPr>
        <w:t xml:space="preserve"> </w:t>
      </w:r>
      <w:proofErr w:type="spellStart"/>
      <w:r w:rsidRPr="00FB6645">
        <w:rPr>
          <w:rFonts w:ascii="Arial" w:hAnsi="Arial" w:cs="Arial"/>
          <w:bCs/>
        </w:rPr>
        <w:t>dB</w:t>
      </w:r>
      <w:proofErr w:type="spellEnd"/>
      <w:r w:rsidR="00C95290" w:rsidRPr="00FB6645">
        <w:rPr>
          <w:rFonts w:ascii="Arial" w:hAnsi="Arial" w:cs="Arial"/>
          <w:bCs/>
        </w:rPr>
        <w:t>, pochodzącego od</w:t>
      </w:r>
      <w:r w:rsidR="00495D30" w:rsidRPr="00FB6645">
        <w:rPr>
          <w:rFonts w:ascii="Arial" w:hAnsi="Arial" w:cs="Arial"/>
          <w:bCs/>
        </w:rPr>
        <w:t> </w:t>
      </w:r>
      <w:r w:rsidR="00B5659F" w:rsidRPr="00FB6645">
        <w:rPr>
          <w:rFonts w:ascii="Arial" w:hAnsi="Arial" w:cs="Arial"/>
          <w:bCs/>
        </w:rPr>
        <w:t>linii kolejowej.</w:t>
      </w:r>
    </w:p>
    <w:p w14:paraId="3DD0E182" w14:textId="77777777" w:rsidR="00B5659F" w:rsidRPr="00FB6645" w:rsidRDefault="00B5659F" w:rsidP="00FB6645">
      <w:pPr>
        <w:numPr>
          <w:ilvl w:val="0"/>
          <w:numId w:val="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Granicę zewnętrzną obszaru ograniczonego użytkowania dla terenów stref śródmiejskich miast powyżej 100 tysięcy mieszkańców wyznacza się na podstawie obwiedni izolinii równoważnego poziomu dźwięku A </w:t>
      </w:r>
      <w:proofErr w:type="spellStart"/>
      <w:r w:rsidRPr="00FB6645">
        <w:rPr>
          <w:rFonts w:ascii="Arial" w:hAnsi="Arial" w:cs="Arial"/>
          <w:bCs/>
        </w:rPr>
        <w:t>L</w:t>
      </w:r>
      <w:r w:rsidRPr="00FB6645">
        <w:rPr>
          <w:rFonts w:ascii="Arial" w:hAnsi="Arial" w:cs="Arial"/>
          <w:bCs/>
          <w:vertAlign w:val="subscript"/>
        </w:rPr>
        <w:t>AeqN</w:t>
      </w:r>
      <w:proofErr w:type="spellEnd"/>
      <w:r w:rsidRPr="00FB6645">
        <w:rPr>
          <w:rFonts w:ascii="Arial" w:hAnsi="Arial" w:cs="Arial"/>
          <w:bCs/>
        </w:rPr>
        <w:t xml:space="preserve"> = 60 </w:t>
      </w:r>
      <w:proofErr w:type="spellStart"/>
      <w:r w:rsidRPr="00FB6645">
        <w:rPr>
          <w:rFonts w:ascii="Arial" w:hAnsi="Arial" w:cs="Arial"/>
          <w:bCs/>
        </w:rPr>
        <w:t>dB</w:t>
      </w:r>
      <w:proofErr w:type="spellEnd"/>
      <w:r w:rsidRPr="00FB6645">
        <w:rPr>
          <w:rFonts w:ascii="Arial" w:hAnsi="Arial" w:cs="Arial"/>
          <w:bCs/>
        </w:rPr>
        <w:t>, pochodzącego od linii kolejowej.</w:t>
      </w:r>
    </w:p>
    <w:p w14:paraId="1167FAEA" w14:textId="77777777" w:rsidR="001A2F11" w:rsidRPr="00FB6645" w:rsidRDefault="001A2F11" w:rsidP="00FB6645">
      <w:pPr>
        <w:numPr>
          <w:ilvl w:val="0"/>
          <w:numId w:val="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Granicę wewnętrzną obszaru ograniczonego użytkowania wyznacza granica </w:t>
      </w:r>
      <w:r w:rsidR="00B5659F" w:rsidRPr="00FB6645">
        <w:rPr>
          <w:rFonts w:ascii="Arial" w:hAnsi="Arial" w:cs="Arial"/>
          <w:bCs/>
        </w:rPr>
        <w:t>działek, do których tytuł prawny posiada podmiot zarządzający linią kolejową</w:t>
      </w:r>
      <w:r w:rsidRPr="00FB6645">
        <w:rPr>
          <w:rFonts w:ascii="Arial" w:hAnsi="Arial" w:cs="Arial"/>
          <w:bCs/>
        </w:rPr>
        <w:t>.</w:t>
      </w:r>
    </w:p>
    <w:p w14:paraId="5D11AFCF" w14:textId="77777777" w:rsidR="001A2F11" w:rsidRPr="006F68CC" w:rsidRDefault="001A2F11" w:rsidP="006F68CC">
      <w:pPr>
        <w:pStyle w:val="Podtytu"/>
      </w:pPr>
      <w:r w:rsidRPr="006F68CC">
        <w:t>§</w:t>
      </w:r>
      <w:r w:rsidR="00961BA7" w:rsidRPr="006F68CC">
        <w:t xml:space="preserve"> </w:t>
      </w:r>
      <w:r w:rsidR="00B5659F" w:rsidRPr="006F68CC">
        <w:t>4</w:t>
      </w:r>
    </w:p>
    <w:p w14:paraId="0A927903" w14:textId="77777777" w:rsidR="001A2F11" w:rsidRPr="00FB6645" w:rsidRDefault="001A2F11" w:rsidP="00FB6645">
      <w:p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W obszarze ograniczonego użytkowania wprowadza się następujące ograniczenia w zakresie przeznaczenia terenu i sposobu korzystania z terenów:</w:t>
      </w:r>
    </w:p>
    <w:p w14:paraId="30390F47" w14:textId="77777777" w:rsidR="0094207E" w:rsidRPr="00FB6645" w:rsidRDefault="0094207E" w:rsidP="00FB664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zakazuje się przeznaczenia terenu pod budowę szpitali, domów opieki społecznej i budynków związanych ze stałym lub czasowym pobytem dzieci i młodzieży, takich jak szkoły, przedszkola, internaty, żłobki, domy dziecka itp., </w:t>
      </w:r>
      <w:r w:rsidR="00945746" w:rsidRPr="00FB6645">
        <w:rPr>
          <w:rFonts w:ascii="Arial" w:hAnsi="Arial" w:cs="Arial"/>
          <w:bCs/>
        </w:rPr>
        <w:t>jak też</w:t>
      </w:r>
      <w:r w:rsidRPr="00FB6645">
        <w:rPr>
          <w:rFonts w:ascii="Arial" w:hAnsi="Arial" w:cs="Arial"/>
          <w:bCs/>
        </w:rPr>
        <w:t xml:space="preserve"> tworzenia stref ochronnych „A” uzdrowiska;</w:t>
      </w:r>
    </w:p>
    <w:p w14:paraId="180BF08F" w14:textId="77777777" w:rsidR="0094207E" w:rsidRPr="00FB6645" w:rsidRDefault="0094207E" w:rsidP="00FB664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zakazuje się lokalizowania budynków o funkcji szpitali, domów opieki społecznej i budynków związanych ze stałym lub czasowym pobytem dzieci i młodzieży, takich jak szkoły, przedszkola, internaty, domy dziecka itp., z wyłączeniem w szczególności rozbudowy, odbudowy lub nadbudowy istniejących obiektów;</w:t>
      </w:r>
    </w:p>
    <w:p w14:paraId="1D1868A8" w14:textId="77777777" w:rsidR="0094207E" w:rsidRPr="00FB6645" w:rsidRDefault="0094207E" w:rsidP="00FB664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zakazuje się zmiany funkcji budynków istniejących na budynki o funkcji szpitali, domów opieki społecznej i budynków związanych ze stałym lub czasowym pobytem dzieci i młodzieży;</w:t>
      </w:r>
    </w:p>
    <w:p w14:paraId="4C73AC2E" w14:textId="77777777" w:rsidR="0094207E" w:rsidRPr="00FB6645" w:rsidRDefault="0094207E" w:rsidP="00FB664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dopuszcza się przeznaczanie nowych terenów pod zabudowę mieszkaniową, </w:t>
      </w:r>
      <w:r w:rsidRPr="00FB6645">
        <w:rPr>
          <w:rFonts w:ascii="Arial" w:hAnsi="Arial" w:cs="Arial"/>
          <w:color w:val="000000"/>
        </w:rPr>
        <w:t>na warunkach określonych w miejscowym planie zagospodarowania przestrzennego, a w przypadku braku planu miejscowego na warunkach określonych w decyzji o warunkach zabudowy,</w:t>
      </w:r>
      <w:r w:rsidRPr="00FB6645">
        <w:rPr>
          <w:rFonts w:ascii="Arial" w:hAnsi="Arial" w:cs="Arial"/>
          <w:i/>
          <w:color w:val="000000"/>
        </w:rPr>
        <w:t xml:space="preserve"> </w:t>
      </w:r>
      <w:r w:rsidRPr="00FB6645">
        <w:rPr>
          <w:rFonts w:ascii="Arial" w:hAnsi="Arial" w:cs="Arial"/>
          <w:bCs/>
        </w:rPr>
        <w:t>pod warunkiem zapewnienia</w:t>
      </w:r>
      <w:r w:rsidRPr="00FB6645">
        <w:rPr>
          <w:rFonts w:ascii="Arial" w:hAnsi="Arial" w:cs="Arial"/>
        </w:rPr>
        <w:t xml:space="preserve"> odpowiedniej izolacyjności przegród budowlanych oraz </w:t>
      </w:r>
      <w:r w:rsidRPr="00FB6645">
        <w:rPr>
          <w:rFonts w:ascii="Arial" w:hAnsi="Arial" w:cs="Arial"/>
          <w:bCs/>
        </w:rPr>
        <w:t>właściwego klimatu akustycznego w pomieszczeniach wymagających ochrony akustycznej;</w:t>
      </w:r>
    </w:p>
    <w:p w14:paraId="0CA12E91" w14:textId="77777777" w:rsidR="0094207E" w:rsidRPr="00FB6645" w:rsidRDefault="0094207E" w:rsidP="00FB664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dopuszcza się lokal</w:t>
      </w:r>
      <w:r w:rsidR="0026647B" w:rsidRPr="00FB6645">
        <w:rPr>
          <w:rFonts w:ascii="Arial" w:hAnsi="Arial" w:cs="Arial"/>
          <w:bCs/>
        </w:rPr>
        <w:t>izowanie zabudowy mieszkaniowej</w:t>
      </w:r>
      <w:r w:rsidRPr="00FB6645">
        <w:rPr>
          <w:rFonts w:ascii="Arial" w:hAnsi="Arial" w:cs="Arial"/>
          <w:bCs/>
        </w:rPr>
        <w:t xml:space="preserve"> pod warunkiem zapewnienia właściwego klimatu akustycznego w pomieszczeniach wymagających ochrony akustycznej.</w:t>
      </w:r>
    </w:p>
    <w:p w14:paraId="1E841997" w14:textId="77777777" w:rsidR="001A2F11" w:rsidRPr="006F68CC" w:rsidRDefault="001A2F11" w:rsidP="006F68CC">
      <w:pPr>
        <w:pStyle w:val="Podtytu"/>
      </w:pPr>
      <w:r w:rsidRPr="006F68CC">
        <w:t xml:space="preserve">§ </w:t>
      </w:r>
      <w:r w:rsidR="00961BA7" w:rsidRPr="006F68CC">
        <w:t>5</w:t>
      </w:r>
    </w:p>
    <w:p w14:paraId="4CD67013" w14:textId="77777777" w:rsidR="001A2F11" w:rsidRPr="00FB6645" w:rsidRDefault="001A2F11" w:rsidP="00FB6645">
      <w:p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Określa się wymagania techniczne dotyczące budynków zlokalizowanych w obszarze ograniczonego użytkowania:</w:t>
      </w:r>
    </w:p>
    <w:p w14:paraId="599667E9" w14:textId="77777777" w:rsidR="001A2F11" w:rsidRPr="00FB6645" w:rsidRDefault="001A2F11" w:rsidP="00FB6645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w istniejącej zabudowie, w budynkach z pomieszczeniami wymagającym ochrony akustycznej </w:t>
      </w:r>
      <w:r w:rsidR="000717E3" w:rsidRPr="00FB6645">
        <w:rPr>
          <w:rFonts w:ascii="Arial" w:hAnsi="Arial" w:cs="Arial"/>
        </w:rPr>
        <w:t>należy zapewnić właściwy klimat</w:t>
      </w:r>
      <w:r w:rsidRPr="00FB6645">
        <w:rPr>
          <w:rFonts w:ascii="Arial" w:hAnsi="Arial" w:cs="Arial"/>
        </w:rPr>
        <w:t xml:space="preserve"> akustyczny, poprzez stosowanie przegród budowlanych o odpowiedniej izolacyjności akustycznej – zgodnie z ustawą z dnia 7 lipca 1994r. Prawo budowlane (Dz. U. z 20</w:t>
      </w:r>
      <w:r w:rsidR="00B5659F" w:rsidRPr="00FB6645">
        <w:rPr>
          <w:rFonts w:ascii="Arial" w:hAnsi="Arial" w:cs="Arial"/>
        </w:rPr>
        <w:t>25</w:t>
      </w:r>
      <w:r w:rsidRPr="00FB6645">
        <w:rPr>
          <w:rFonts w:ascii="Arial" w:hAnsi="Arial" w:cs="Arial"/>
        </w:rPr>
        <w:t xml:space="preserve"> r., poz. </w:t>
      </w:r>
      <w:r w:rsidR="00B5659F" w:rsidRPr="00FB6645">
        <w:rPr>
          <w:rFonts w:ascii="Arial" w:hAnsi="Arial" w:cs="Arial"/>
        </w:rPr>
        <w:t>418</w:t>
      </w:r>
      <w:r w:rsidRPr="00FB6645">
        <w:rPr>
          <w:rFonts w:ascii="Arial" w:hAnsi="Arial" w:cs="Arial"/>
        </w:rPr>
        <w:t xml:space="preserve"> ze zm</w:t>
      </w:r>
      <w:r w:rsidR="00B5659F" w:rsidRPr="00FB6645">
        <w:rPr>
          <w:rFonts w:ascii="Arial" w:hAnsi="Arial" w:cs="Arial"/>
        </w:rPr>
        <w:t>.</w:t>
      </w:r>
      <w:r w:rsidRPr="00FB6645">
        <w:rPr>
          <w:rFonts w:ascii="Arial" w:hAnsi="Arial" w:cs="Arial"/>
        </w:rPr>
        <w:t>) i przepisam</w:t>
      </w:r>
      <w:r w:rsidR="00746362" w:rsidRPr="00FB6645">
        <w:rPr>
          <w:rFonts w:ascii="Arial" w:hAnsi="Arial" w:cs="Arial"/>
        </w:rPr>
        <w:t>i wykonawczymi do tej ustawy;</w:t>
      </w:r>
    </w:p>
    <w:p w14:paraId="7A1D3BC5" w14:textId="77777777" w:rsidR="00D91681" w:rsidRPr="00FB6645" w:rsidRDefault="001A2F11" w:rsidP="00FB6645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w nowoprojektowanych budynkach zabudowy mieszkaniowej należy zapewnić odpowiednią izolacyjność ścian zewnętrznych, okien i drzwi w ścianach </w:t>
      </w:r>
      <w:r w:rsidRPr="00FB6645">
        <w:rPr>
          <w:rFonts w:ascii="Arial" w:hAnsi="Arial" w:cs="Arial"/>
        </w:rPr>
        <w:lastRenderedPageBreak/>
        <w:t>zewnętrznych, dachów i</w:t>
      </w:r>
      <w:r w:rsidR="00495D30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>stropodachów – zgodnie z ustawą z dnia 7 lipca 1994</w:t>
      </w:r>
      <w:r w:rsidR="00B5659F" w:rsidRPr="00FB6645">
        <w:rPr>
          <w:rFonts w:ascii="Arial" w:hAnsi="Arial" w:cs="Arial"/>
        </w:rPr>
        <w:t xml:space="preserve"> </w:t>
      </w:r>
      <w:r w:rsidRPr="00FB6645">
        <w:rPr>
          <w:rFonts w:ascii="Arial" w:hAnsi="Arial" w:cs="Arial"/>
        </w:rPr>
        <w:t>r. Prawo budowlane (Dz. U. z 20</w:t>
      </w:r>
      <w:r w:rsidR="00B5659F" w:rsidRPr="00FB6645">
        <w:rPr>
          <w:rFonts w:ascii="Arial" w:hAnsi="Arial" w:cs="Arial"/>
        </w:rPr>
        <w:t>25</w:t>
      </w:r>
      <w:r w:rsidRPr="00FB6645">
        <w:rPr>
          <w:rFonts w:ascii="Arial" w:hAnsi="Arial" w:cs="Arial"/>
        </w:rPr>
        <w:t xml:space="preserve"> r., poz.</w:t>
      </w:r>
      <w:r w:rsidR="00B5659F" w:rsidRPr="00FB6645">
        <w:rPr>
          <w:rFonts w:ascii="Arial" w:hAnsi="Arial" w:cs="Arial"/>
        </w:rPr>
        <w:t>418</w:t>
      </w:r>
      <w:r w:rsidRPr="00FB6645">
        <w:rPr>
          <w:rFonts w:ascii="Arial" w:hAnsi="Arial" w:cs="Arial"/>
        </w:rPr>
        <w:t xml:space="preserve"> ze zm</w:t>
      </w:r>
      <w:r w:rsidR="00B5659F" w:rsidRPr="00FB6645">
        <w:rPr>
          <w:rFonts w:ascii="Arial" w:hAnsi="Arial" w:cs="Arial"/>
        </w:rPr>
        <w:t>.</w:t>
      </w:r>
      <w:r w:rsidRPr="00FB6645">
        <w:rPr>
          <w:rFonts w:ascii="Arial" w:hAnsi="Arial" w:cs="Arial"/>
        </w:rPr>
        <w:t>)  i przepisami wykonawczymi do tej ustawy.</w:t>
      </w:r>
    </w:p>
    <w:p w14:paraId="416D3774" w14:textId="77777777" w:rsidR="001A2F11" w:rsidRPr="006F68CC" w:rsidRDefault="001A2F11" w:rsidP="006F68CC">
      <w:pPr>
        <w:pStyle w:val="Podtytu"/>
      </w:pPr>
      <w:r w:rsidRPr="006F68CC">
        <w:t>§</w:t>
      </w:r>
      <w:r w:rsidR="00961BA7" w:rsidRPr="006F68CC">
        <w:t xml:space="preserve"> 6</w:t>
      </w:r>
    </w:p>
    <w:p w14:paraId="15F52A05" w14:textId="0B501117" w:rsidR="001A2F11" w:rsidRPr="00FB6645" w:rsidRDefault="001A2F11" w:rsidP="00FB6645">
      <w:pPr>
        <w:pStyle w:val="Akapitzlist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B6645">
        <w:rPr>
          <w:rFonts w:ascii="Arial" w:hAnsi="Arial" w:cs="Arial"/>
          <w:sz w:val="24"/>
          <w:szCs w:val="24"/>
        </w:rPr>
        <w:t>Jeżeli granica obszaru ograniczonego uż</w:t>
      </w:r>
      <w:r w:rsidR="009F2CC7" w:rsidRPr="00FB6645">
        <w:rPr>
          <w:rFonts w:ascii="Arial" w:hAnsi="Arial" w:cs="Arial"/>
          <w:sz w:val="24"/>
          <w:szCs w:val="24"/>
        </w:rPr>
        <w:t xml:space="preserve">ytkowania </w:t>
      </w:r>
      <w:r w:rsidRPr="00FB6645">
        <w:rPr>
          <w:rFonts w:ascii="Arial" w:hAnsi="Arial" w:cs="Arial"/>
          <w:sz w:val="24"/>
          <w:szCs w:val="24"/>
        </w:rPr>
        <w:t>przebiega przez budynek mieszkalny jednorodzinny, szpital, dom opieki społecznej, budynek związany ze stałym lub czasowym pobytem dzieci i młodzieży, wówczas budynek włącza się do obszaru ograniczonego użytkowania.</w:t>
      </w:r>
    </w:p>
    <w:p w14:paraId="7959C33A" w14:textId="1049F305" w:rsidR="001A2F11" w:rsidRPr="00FB6645" w:rsidRDefault="009F2CC7" w:rsidP="00FB6645">
      <w:pPr>
        <w:pStyle w:val="Akapitzlist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B6645">
        <w:rPr>
          <w:rFonts w:ascii="Arial" w:hAnsi="Arial" w:cs="Arial"/>
          <w:sz w:val="24"/>
          <w:szCs w:val="24"/>
        </w:rPr>
        <w:t xml:space="preserve">Jeżeli granica </w:t>
      </w:r>
      <w:r w:rsidR="00135B72" w:rsidRPr="00FB6645">
        <w:rPr>
          <w:rFonts w:ascii="Arial" w:hAnsi="Arial" w:cs="Arial"/>
          <w:sz w:val="24"/>
          <w:szCs w:val="24"/>
        </w:rPr>
        <w:t xml:space="preserve">obszaru ograniczonego użytkowania </w:t>
      </w:r>
      <w:r w:rsidR="001A2F11" w:rsidRPr="00FB6645">
        <w:rPr>
          <w:rFonts w:ascii="Arial" w:hAnsi="Arial" w:cs="Arial"/>
          <w:sz w:val="24"/>
          <w:szCs w:val="24"/>
        </w:rPr>
        <w:t>przebiega przez budynek zabudowy mieszkaniowej wielorodzinnej, zamieszkania zbiorowego lub mieszkaniowo-usługowy, wówcza</w:t>
      </w:r>
      <w:r w:rsidRPr="00FB6645">
        <w:rPr>
          <w:rFonts w:ascii="Arial" w:hAnsi="Arial" w:cs="Arial"/>
          <w:sz w:val="24"/>
          <w:szCs w:val="24"/>
        </w:rPr>
        <w:t xml:space="preserve">s budynek włącza się do </w:t>
      </w:r>
      <w:r w:rsidR="00135B72" w:rsidRPr="00FB6645">
        <w:rPr>
          <w:rFonts w:ascii="Arial" w:hAnsi="Arial" w:cs="Arial"/>
          <w:sz w:val="24"/>
          <w:szCs w:val="24"/>
        </w:rPr>
        <w:t>obszaru ograniczonego użytkowania</w:t>
      </w:r>
      <w:r w:rsidR="001A2F11" w:rsidRPr="00FB6645">
        <w:rPr>
          <w:rFonts w:ascii="Arial" w:hAnsi="Arial" w:cs="Arial"/>
          <w:sz w:val="24"/>
          <w:szCs w:val="24"/>
        </w:rPr>
        <w:t>, przy czym w przypadku budynków mieszkaniowo-usługowych</w:t>
      </w:r>
      <w:r w:rsidR="000E1208" w:rsidRPr="00FB6645">
        <w:rPr>
          <w:rFonts w:ascii="Arial" w:hAnsi="Arial" w:cs="Arial"/>
          <w:sz w:val="24"/>
          <w:szCs w:val="24"/>
        </w:rPr>
        <w:t xml:space="preserve"> </w:t>
      </w:r>
      <w:r w:rsidR="001A2F11" w:rsidRPr="00FB6645">
        <w:rPr>
          <w:rFonts w:ascii="Arial" w:hAnsi="Arial" w:cs="Arial"/>
          <w:sz w:val="24"/>
          <w:szCs w:val="24"/>
        </w:rPr>
        <w:t>dotyczy to wyłącznie części mieszkaniowej.</w:t>
      </w:r>
    </w:p>
    <w:p w14:paraId="03A377DE" w14:textId="77777777" w:rsidR="001A2F11" w:rsidRPr="006F68CC" w:rsidRDefault="00A457BA" w:rsidP="006F68CC">
      <w:pPr>
        <w:pStyle w:val="Podtytu"/>
      </w:pPr>
      <w:r w:rsidRPr="006F68CC">
        <w:t xml:space="preserve">§ </w:t>
      </w:r>
      <w:r w:rsidR="00961BA7" w:rsidRPr="006F68CC">
        <w:t>7</w:t>
      </w:r>
    </w:p>
    <w:p w14:paraId="313A336D" w14:textId="77777777" w:rsidR="001A2F11" w:rsidRPr="00FB6645" w:rsidRDefault="001A2F11" w:rsidP="00FB6645">
      <w:pPr>
        <w:pStyle w:val="Akapitzlist1"/>
        <w:ind w:left="0"/>
        <w:rPr>
          <w:rFonts w:ascii="Arial" w:hAnsi="Arial" w:cs="Arial"/>
          <w:sz w:val="24"/>
          <w:szCs w:val="24"/>
        </w:rPr>
      </w:pPr>
      <w:r w:rsidRPr="00FB6645">
        <w:rPr>
          <w:rFonts w:ascii="Arial" w:hAnsi="Arial" w:cs="Arial"/>
          <w:sz w:val="24"/>
          <w:szCs w:val="24"/>
        </w:rPr>
        <w:t xml:space="preserve">Współrzędne geodezyjne granicy obszaru ograniczonego użytkowania określa załącznik nr </w:t>
      </w:r>
      <w:r w:rsidR="00135B72" w:rsidRPr="00FB6645">
        <w:rPr>
          <w:rFonts w:ascii="Arial" w:hAnsi="Arial" w:cs="Arial"/>
          <w:sz w:val="24"/>
          <w:szCs w:val="24"/>
        </w:rPr>
        <w:t>1</w:t>
      </w:r>
      <w:r w:rsidRPr="00FB6645">
        <w:rPr>
          <w:rFonts w:ascii="Arial" w:hAnsi="Arial" w:cs="Arial"/>
          <w:sz w:val="24"/>
          <w:szCs w:val="24"/>
        </w:rPr>
        <w:t xml:space="preserve"> do uchwały.</w:t>
      </w:r>
    </w:p>
    <w:p w14:paraId="20D3A3C8" w14:textId="77777777" w:rsidR="001A2F11" w:rsidRPr="006F68CC" w:rsidRDefault="00A457BA" w:rsidP="006F68CC">
      <w:pPr>
        <w:pStyle w:val="Podtytu"/>
      </w:pPr>
      <w:r w:rsidRPr="006F68CC">
        <w:t xml:space="preserve">§ </w:t>
      </w:r>
      <w:r w:rsidR="00961BA7" w:rsidRPr="006F68CC">
        <w:t>8</w:t>
      </w:r>
    </w:p>
    <w:p w14:paraId="723EF88F" w14:textId="77777777" w:rsidR="00B63035" w:rsidRPr="00FB6645" w:rsidRDefault="001A2F11" w:rsidP="00FB6645">
      <w:pPr>
        <w:pStyle w:val="Akapitzlist1"/>
        <w:ind w:left="0"/>
        <w:rPr>
          <w:rFonts w:ascii="Arial" w:hAnsi="Arial" w:cs="Arial"/>
          <w:sz w:val="24"/>
          <w:szCs w:val="24"/>
        </w:rPr>
      </w:pPr>
      <w:r w:rsidRPr="00FB6645">
        <w:rPr>
          <w:rFonts w:ascii="Arial" w:hAnsi="Arial" w:cs="Arial"/>
          <w:sz w:val="24"/>
          <w:szCs w:val="24"/>
        </w:rPr>
        <w:t xml:space="preserve">Wykaz działek ewidencyjnych, które w całości lub w części znajdują się na terenie obszaru ograniczonego użytkowania, określa załącznik nr </w:t>
      </w:r>
      <w:r w:rsidR="00135B72" w:rsidRPr="00FB6645">
        <w:rPr>
          <w:rFonts w:ascii="Arial" w:hAnsi="Arial" w:cs="Arial"/>
          <w:sz w:val="24"/>
          <w:szCs w:val="24"/>
        </w:rPr>
        <w:t>2</w:t>
      </w:r>
      <w:r w:rsidRPr="00FB6645">
        <w:rPr>
          <w:rFonts w:ascii="Arial" w:hAnsi="Arial" w:cs="Arial"/>
          <w:sz w:val="24"/>
          <w:szCs w:val="24"/>
        </w:rPr>
        <w:t xml:space="preserve"> do uchwały.</w:t>
      </w:r>
    </w:p>
    <w:p w14:paraId="74D27C09" w14:textId="77777777" w:rsidR="001A2F11" w:rsidRPr="00FB6645" w:rsidRDefault="00A457BA" w:rsidP="006F68CC">
      <w:pPr>
        <w:pStyle w:val="Podtytu"/>
      </w:pPr>
      <w:r w:rsidRPr="00FB6645">
        <w:t>§</w:t>
      </w:r>
      <w:r w:rsidR="00961BA7" w:rsidRPr="00FB6645">
        <w:t xml:space="preserve"> 9</w:t>
      </w:r>
    </w:p>
    <w:p w14:paraId="49ED494C" w14:textId="77777777" w:rsidR="001A2F11" w:rsidRPr="00FB6645" w:rsidRDefault="001A2F11" w:rsidP="00FB664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 xml:space="preserve">Graficzne przedstawienie lokalizacji obszaru ograniczonego określa załącznik nr </w:t>
      </w:r>
      <w:r w:rsidR="00135B72" w:rsidRPr="00FB6645">
        <w:rPr>
          <w:rFonts w:ascii="Arial" w:hAnsi="Arial" w:cs="Arial"/>
          <w:bCs/>
        </w:rPr>
        <w:t>3</w:t>
      </w:r>
      <w:r w:rsidRPr="00FB6645">
        <w:rPr>
          <w:rFonts w:ascii="Arial" w:hAnsi="Arial" w:cs="Arial"/>
          <w:bCs/>
        </w:rPr>
        <w:t xml:space="preserve"> do uchwały.</w:t>
      </w:r>
    </w:p>
    <w:p w14:paraId="2F21D555" w14:textId="77777777" w:rsidR="00C95290" w:rsidRPr="006F68CC" w:rsidRDefault="00A457BA" w:rsidP="006F68CC">
      <w:pPr>
        <w:pStyle w:val="Podtytu"/>
      </w:pPr>
      <w:r w:rsidRPr="006F68CC">
        <w:t>§</w:t>
      </w:r>
      <w:r w:rsidR="00961BA7" w:rsidRPr="006F68CC">
        <w:t xml:space="preserve"> 10</w:t>
      </w:r>
    </w:p>
    <w:p w14:paraId="4001E6DC" w14:textId="77777777" w:rsidR="001A2F11" w:rsidRPr="00FB6645" w:rsidRDefault="001A2F11" w:rsidP="00FB664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</w:rPr>
      </w:pPr>
      <w:r w:rsidRPr="00FB6645">
        <w:rPr>
          <w:rFonts w:ascii="Arial" w:hAnsi="Arial" w:cs="Arial"/>
          <w:bCs/>
        </w:rPr>
        <w:t>Uchwała wchodzi w życie po upływie 14 dni od dnia jej ogłoszenia w Dzienniku Urzędowym Województwa Pomorskiego.</w:t>
      </w:r>
    </w:p>
    <w:p w14:paraId="24025C9E" w14:textId="77777777" w:rsidR="001A2F11" w:rsidRPr="00FB6645" w:rsidRDefault="001A2F11" w:rsidP="00D91681">
      <w:pPr>
        <w:autoSpaceDE w:val="0"/>
        <w:autoSpaceDN w:val="0"/>
        <w:adjustRightInd w:val="0"/>
        <w:spacing w:before="960" w:line="276" w:lineRule="auto"/>
        <w:ind w:left="5664"/>
        <w:jc w:val="center"/>
        <w:rPr>
          <w:rFonts w:ascii="Arial" w:hAnsi="Arial" w:cs="Arial"/>
          <w:b/>
        </w:rPr>
      </w:pPr>
      <w:r w:rsidRPr="00FB6645">
        <w:rPr>
          <w:rFonts w:ascii="Arial" w:hAnsi="Arial" w:cs="Arial"/>
          <w:b/>
        </w:rPr>
        <w:t>Przewodniczący</w:t>
      </w:r>
    </w:p>
    <w:p w14:paraId="09A7D2F2" w14:textId="77777777" w:rsidR="001A2F11" w:rsidRPr="00FB6645" w:rsidRDefault="00961BA7" w:rsidP="006F68CC">
      <w:pPr>
        <w:autoSpaceDE w:val="0"/>
        <w:autoSpaceDN w:val="0"/>
        <w:adjustRightInd w:val="0"/>
        <w:spacing w:before="840" w:line="276" w:lineRule="auto"/>
        <w:ind w:left="5664"/>
        <w:jc w:val="center"/>
        <w:rPr>
          <w:rFonts w:ascii="Arial" w:hAnsi="Arial" w:cs="Arial"/>
          <w:b/>
          <w:bCs/>
        </w:rPr>
      </w:pPr>
      <w:r w:rsidRPr="00FB6645">
        <w:rPr>
          <w:rFonts w:ascii="Arial" w:hAnsi="Arial" w:cs="Arial"/>
          <w:b/>
        </w:rPr>
        <w:t xml:space="preserve">Sejmiku </w:t>
      </w:r>
      <w:r w:rsidR="001A2F11" w:rsidRPr="00FB6645">
        <w:rPr>
          <w:rFonts w:ascii="Arial" w:hAnsi="Arial" w:cs="Arial"/>
          <w:b/>
        </w:rPr>
        <w:t>Województwa Pomorskiego</w:t>
      </w:r>
    </w:p>
    <w:p w14:paraId="06545493" w14:textId="77777777" w:rsidR="001A2F11" w:rsidRPr="00FB6645" w:rsidRDefault="001A2F11" w:rsidP="0025722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C3D49E4" w14:textId="77777777" w:rsidR="00441727" w:rsidRPr="00FB6645" w:rsidRDefault="00441727" w:rsidP="002572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  <w:sectPr w:rsidR="00441727" w:rsidRPr="00FB6645" w:rsidSect="00B00D16">
          <w:footnotePr>
            <w:numRestart w:val="eachSect"/>
          </w:footnotePr>
          <w:endnotePr>
            <w:numFmt w:val="decimal"/>
          </w:endnotePr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06489C67" w14:textId="77777777" w:rsidR="001A2F11" w:rsidRPr="006F68CC" w:rsidRDefault="001A2F11" w:rsidP="006F68CC">
      <w:pPr>
        <w:pStyle w:val="Podtytu"/>
      </w:pPr>
      <w:r w:rsidRPr="006F68CC">
        <w:lastRenderedPageBreak/>
        <w:t>UZASADNIENIE</w:t>
      </w:r>
    </w:p>
    <w:p w14:paraId="2AA4D68A" w14:textId="77777777" w:rsidR="000F61F7" w:rsidRPr="00FB6645" w:rsidRDefault="000F61F7" w:rsidP="00FB6645">
      <w:pPr>
        <w:spacing w:line="276" w:lineRule="auto"/>
        <w:ind w:firstLine="708"/>
        <w:rPr>
          <w:rFonts w:ascii="Arial" w:hAnsi="Arial" w:cs="Arial"/>
        </w:rPr>
      </w:pPr>
      <w:r w:rsidRPr="00FB6645">
        <w:rPr>
          <w:rFonts w:ascii="Arial" w:hAnsi="Arial" w:cs="Arial"/>
        </w:rPr>
        <w:t>Zgodnie z art. 135 ustawy z dnia 27 kwietnia 2001 r. Prawo ochrony środowiska (Dz. U. z</w:t>
      </w:r>
      <w:r w:rsidR="00441727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>20</w:t>
      </w:r>
      <w:r w:rsidR="00135B72" w:rsidRPr="00FB6645">
        <w:rPr>
          <w:rFonts w:ascii="Arial" w:hAnsi="Arial" w:cs="Arial"/>
        </w:rPr>
        <w:t>25</w:t>
      </w:r>
      <w:r w:rsidRPr="00FB6645">
        <w:rPr>
          <w:rFonts w:ascii="Arial" w:hAnsi="Arial" w:cs="Arial"/>
        </w:rPr>
        <w:t xml:space="preserve"> poz. </w:t>
      </w:r>
      <w:r w:rsidR="00135B72" w:rsidRPr="00FB6645">
        <w:rPr>
          <w:rFonts w:ascii="Arial" w:hAnsi="Arial" w:cs="Arial"/>
        </w:rPr>
        <w:t>647</w:t>
      </w:r>
      <w:r w:rsidRPr="00FB6645">
        <w:rPr>
          <w:rFonts w:ascii="Arial" w:hAnsi="Arial" w:cs="Arial"/>
        </w:rPr>
        <w:t>, ze zm.), jeżeli z przeglądu ekologicznego albo z oceny oddziaływania na</w:t>
      </w:r>
      <w:r w:rsidR="00993350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>środowisko wymaganej przepisami ustawy z dnia 3 października 2008 r. o udostępnianiu informacji o środowisku i jego ochronie, udziale społeczeństwa w ochronie środowiska oraz o</w:t>
      </w:r>
      <w:r w:rsidR="00993350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 xml:space="preserve">ocenach oddziaływania na środowisko, albo z analizy </w:t>
      </w:r>
      <w:proofErr w:type="spellStart"/>
      <w:r w:rsidRPr="00FB6645">
        <w:rPr>
          <w:rFonts w:ascii="Arial" w:hAnsi="Arial" w:cs="Arial"/>
        </w:rPr>
        <w:t>porealizacyjnej</w:t>
      </w:r>
      <w:proofErr w:type="spellEnd"/>
      <w:r w:rsidRPr="00FB6645">
        <w:rPr>
          <w:rFonts w:ascii="Arial" w:hAnsi="Arial" w:cs="Arial"/>
        </w:rPr>
        <w:t xml:space="preserve"> wynika, że mimo zastosowania dostępnych rozwiązań technicznych, technologicznych i </w:t>
      </w:r>
      <w:r w:rsidR="00C01986" w:rsidRPr="00FB6645">
        <w:rPr>
          <w:rFonts w:ascii="Arial" w:hAnsi="Arial" w:cs="Arial"/>
        </w:rPr>
        <w:t>o</w:t>
      </w:r>
      <w:r w:rsidRPr="00FB6645">
        <w:rPr>
          <w:rFonts w:ascii="Arial" w:hAnsi="Arial" w:cs="Arial"/>
        </w:rPr>
        <w:t>rganizacyjnych nie mogą być dotrzymane standardy jakości środowiska poza terenem zakładu lub innego obiektu, to m.in. dla</w:t>
      </w:r>
      <w:r w:rsidR="009B2210" w:rsidRPr="00FB6645">
        <w:rPr>
          <w:rFonts w:ascii="Arial" w:hAnsi="Arial" w:cs="Arial"/>
        </w:rPr>
        <w:t xml:space="preserve"> </w:t>
      </w:r>
      <w:r w:rsidR="00135B72" w:rsidRPr="00FB6645">
        <w:rPr>
          <w:rFonts w:ascii="Arial" w:hAnsi="Arial" w:cs="Arial"/>
        </w:rPr>
        <w:t>linii kolejowej</w:t>
      </w:r>
      <w:r w:rsidRPr="00FB6645">
        <w:rPr>
          <w:rFonts w:ascii="Arial" w:hAnsi="Arial" w:cs="Arial"/>
        </w:rPr>
        <w:t xml:space="preserve"> tworzy się obszar ograniczonego użytkowania. </w:t>
      </w:r>
    </w:p>
    <w:p w14:paraId="10C72BAD" w14:textId="77777777" w:rsidR="000F61F7" w:rsidRPr="00FB6645" w:rsidRDefault="000F61F7" w:rsidP="00FB6645">
      <w:p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ab/>
      </w:r>
      <w:r w:rsidR="00135B72" w:rsidRPr="00FB6645">
        <w:rPr>
          <w:rFonts w:ascii="Arial" w:hAnsi="Arial" w:cs="Arial"/>
        </w:rPr>
        <w:t>O</w:t>
      </w:r>
      <w:r w:rsidRPr="00FB6645">
        <w:rPr>
          <w:rFonts w:ascii="Arial" w:hAnsi="Arial" w:cs="Arial"/>
        </w:rPr>
        <w:t xml:space="preserve">bszar ograniczonego użytkowania dla przedsięwzięcia </w:t>
      </w:r>
      <w:r w:rsidR="0026647B" w:rsidRPr="00FB6645">
        <w:rPr>
          <w:rFonts w:ascii="Arial" w:hAnsi="Arial" w:cs="Arial"/>
        </w:rPr>
        <w:t>zaliczanego do kategorii „</w:t>
      </w:r>
      <w:r w:rsidRPr="00FB6645">
        <w:rPr>
          <w:rFonts w:ascii="Arial" w:hAnsi="Arial" w:cs="Arial"/>
        </w:rPr>
        <w:t>mogącego zawsze znacząco oddziaływać na środowisko</w:t>
      </w:r>
      <w:r w:rsidR="0026647B" w:rsidRPr="00FB6645">
        <w:rPr>
          <w:rFonts w:ascii="Arial" w:hAnsi="Arial" w:cs="Arial"/>
        </w:rPr>
        <w:t>”</w:t>
      </w:r>
      <w:r w:rsidRPr="00FB6645">
        <w:rPr>
          <w:rFonts w:ascii="Arial" w:hAnsi="Arial" w:cs="Arial"/>
        </w:rPr>
        <w:t xml:space="preserve"> w rozumieniu ustawy z dnia 3</w:t>
      </w:r>
      <w:r w:rsidR="00993350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>października 2008 r. o udostępnianiu informacji o środowisku i jego ochronie, udziale społeczeństwa w ochronie środowiska oraz o</w:t>
      </w:r>
      <w:r w:rsidR="00441727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 xml:space="preserve">ocenach oddziaływania na środowisko, </w:t>
      </w:r>
      <w:r w:rsidR="0026647B" w:rsidRPr="00FB6645">
        <w:rPr>
          <w:rFonts w:ascii="Arial" w:hAnsi="Arial" w:cs="Arial"/>
        </w:rPr>
        <w:t>tj.</w:t>
      </w:r>
      <w:r w:rsidR="00993350" w:rsidRPr="00FB6645">
        <w:rPr>
          <w:rFonts w:ascii="Arial" w:hAnsi="Arial" w:cs="Arial"/>
        </w:rPr>
        <w:t> </w:t>
      </w:r>
      <w:r w:rsidR="0026647B" w:rsidRPr="00FB6645">
        <w:rPr>
          <w:rFonts w:ascii="Arial" w:hAnsi="Arial" w:cs="Arial"/>
        </w:rPr>
        <w:t>przedsięwzięcia wymagającego obligatoryjnie oceny oddziaływania na środowisko, a tak klasyfikowanym</w:t>
      </w:r>
      <w:r w:rsidRPr="00FB6645">
        <w:rPr>
          <w:rFonts w:ascii="Arial" w:hAnsi="Arial" w:cs="Arial"/>
        </w:rPr>
        <w:t xml:space="preserve"> przedsięwzięciem jest </w:t>
      </w:r>
      <w:r w:rsidR="00135B72" w:rsidRPr="00FB6645">
        <w:rPr>
          <w:rFonts w:ascii="Arial" w:hAnsi="Arial" w:cs="Arial"/>
        </w:rPr>
        <w:t>linia kolejowa E65</w:t>
      </w:r>
      <w:r w:rsidR="008632FC" w:rsidRPr="00FB6645">
        <w:rPr>
          <w:rFonts w:ascii="Arial" w:hAnsi="Arial" w:cs="Arial"/>
        </w:rPr>
        <w:t>, tworzy sejmik województwa</w:t>
      </w:r>
      <w:r w:rsidRPr="00FB6645">
        <w:rPr>
          <w:rFonts w:ascii="Arial" w:hAnsi="Arial" w:cs="Arial"/>
        </w:rPr>
        <w:t>, w drodze uchwały.</w:t>
      </w:r>
    </w:p>
    <w:p w14:paraId="43E34086" w14:textId="77777777" w:rsidR="001A2F11" w:rsidRPr="00FB6645" w:rsidRDefault="001A2F11" w:rsidP="00FB6645">
      <w:pPr>
        <w:spacing w:line="276" w:lineRule="auto"/>
        <w:ind w:firstLine="708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Decyzją z </w:t>
      </w:r>
      <w:r w:rsidR="0055395B" w:rsidRPr="00FB6645">
        <w:rPr>
          <w:rFonts w:ascii="Arial" w:hAnsi="Arial" w:cs="Arial"/>
        </w:rPr>
        <w:t>14 marca 2007 r.</w:t>
      </w:r>
      <w:r w:rsidRPr="00FB6645">
        <w:rPr>
          <w:rFonts w:ascii="Arial" w:hAnsi="Arial" w:cs="Arial"/>
        </w:rPr>
        <w:t xml:space="preserve"> r. znak </w:t>
      </w:r>
      <w:proofErr w:type="spellStart"/>
      <w:r w:rsidR="0055395B" w:rsidRPr="00FB6645">
        <w:rPr>
          <w:rFonts w:ascii="Arial" w:hAnsi="Arial" w:cs="Arial"/>
        </w:rPr>
        <w:t>Śr</w:t>
      </w:r>
      <w:proofErr w:type="spellEnd"/>
      <w:r w:rsidR="0055395B" w:rsidRPr="00FB6645">
        <w:rPr>
          <w:rFonts w:ascii="Arial" w:hAnsi="Arial" w:cs="Arial"/>
        </w:rPr>
        <w:t>/</w:t>
      </w:r>
      <w:r w:rsidR="003462D8" w:rsidRPr="00FB6645">
        <w:rPr>
          <w:rFonts w:ascii="Arial" w:hAnsi="Arial" w:cs="Arial"/>
        </w:rPr>
        <w:t>Ś.II.ZF/6670/23-9/06</w:t>
      </w:r>
      <w:r w:rsidRPr="00FB6645">
        <w:rPr>
          <w:rFonts w:ascii="Arial" w:hAnsi="Arial" w:cs="Arial"/>
        </w:rPr>
        <w:t xml:space="preserve"> </w:t>
      </w:r>
      <w:r w:rsidR="003462D8" w:rsidRPr="00FB6645">
        <w:rPr>
          <w:rFonts w:ascii="Arial" w:hAnsi="Arial" w:cs="Arial"/>
        </w:rPr>
        <w:t>Wojewoda Pomorski</w:t>
      </w:r>
      <w:r w:rsidR="00827ACB" w:rsidRPr="00FB6645">
        <w:rPr>
          <w:rFonts w:ascii="Arial" w:hAnsi="Arial" w:cs="Arial"/>
        </w:rPr>
        <w:t xml:space="preserve"> określił środowiskowe uwarunkowania zgody na realizację przedsięwzięcia „</w:t>
      </w:r>
      <w:r w:rsidR="003462D8" w:rsidRPr="00FB6645">
        <w:rPr>
          <w:rFonts w:ascii="Arial" w:hAnsi="Arial" w:cs="Arial"/>
        </w:rPr>
        <w:t>Przebudowa i rozbudowa (modernizacja) linii kolejowej E65 Warszawa–Gdynia w granicach województwa pomorskiego, tj. od km 236.900–328.120; 0.00–26.00</w:t>
      </w:r>
      <w:r w:rsidR="00827ACB" w:rsidRPr="00FB6645">
        <w:rPr>
          <w:rFonts w:ascii="Arial" w:hAnsi="Arial" w:cs="Arial"/>
        </w:rPr>
        <w:t>”</w:t>
      </w:r>
      <w:r w:rsidR="004B03CC" w:rsidRPr="00FB6645">
        <w:rPr>
          <w:rFonts w:ascii="Arial" w:hAnsi="Arial" w:cs="Arial"/>
        </w:rPr>
        <w:t>.</w:t>
      </w:r>
      <w:r w:rsidR="001E60BA" w:rsidRPr="00FB6645">
        <w:rPr>
          <w:rFonts w:ascii="Arial" w:hAnsi="Arial" w:cs="Arial"/>
        </w:rPr>
        <w:t xml:space="preserve"> Ww. decyzja nałożyła na </w:t>
      </w:r>
      <w:r w:rsidR="00EB63EA" w:rsidRPr="00FB6645">
        <w:rPr>
          <w:rFonts w:ascii="Arial" w:hAnsi="Arial" w:cs="Arial"/>
        </w:rPr>
        <w:t>PKP Polski</w:t>
      </w:r>
      <w:r w:rsidR="00D77F70" w:rsidRPr="00FB6645">
        <w:rPr>
          <w:rFonts w:ascii="Arial" w:hAnsi="Arial" w:cs="Arial"/>
        </w:rPr>
        <w:t>e Linie Kolejowe S.A.</w:t>
      </w:r>
      <w:r w:rsidR="001E60BA" w:rsidRPr="00FB6645">
        <w:rPr>
          <w:rFonts w:ascii="Arial" w:hAnsi="Arial" w:cs="Arial"/>
        </w:rPr>
        <w:t xml:space="preserve"> obowiązek przedstawienia</w:t>
      </w:r>
      <w:r w:rsidR="004B7636" w:rsidRPr="00FB6645">
        <w:rPr>
          <w:rFonts w:ascii="Arial" w:hAnsi="Arial" w:cs="Arial"/>
        </w:rPr>
        <w:t>,</w:t>
      </w:r>
      <w:r w:rsidR="001E60BA" w:rsidRPr="00FB6645">
        <w:rPr>
          <w:rFonts w:ascii="Arial" w:hAnsi="Arial" w:cs="Arial"/>
        </w:rPr>
        <w:t xml:space="preserve"> w terminie 18 miesięcy od </w:t>
      </w:r>
      <w:r w:rsidR="003462D8" w:rsidRPr="00FB6645">
        <w:rPr>
          <w:rFonts w:ascii="Arial" w:hAnsi="Arial" w:cs="Arial"/>
        </w:rPr>
        <w:t>dnia oddania obiektu do użytkowania</w:t>
      </w:r>
      <w:r w:rsidR="001716CE" w:rsidRPr="00FB6645">
        <w:rPr>
          <w:rFonts w:ascii="Arial" w:hAnsi="Arial" w:cs="Arial"/>
        </w:rPr>
        <w:t xml:space="preserve">, </w:t>
      </w:r>
      <w:r w:rsidR="001E60BA" w:rsidRPr="00FB6645">
        <w:rPr>
          <w:rFonts w:ascii="Arial" w:hAnsi="Arial" w:cs="Arial"/>
        </w:rPr>
        <w:t xml:space="preserve">analizy </w:t>
      </w:r>
      <w:proofErr w:type="spellStart"/>
      <w:r w:rsidR="001E60BA" w:rsidRPr="00FB6645">
        <w:rPr>
          <w:rFonts w:ascii="Arial" w:hAnsi="Arial" w:cs="Arial"/>
        </w:rPr>
        <w:t>porealizacyjnej</w:t>
      </w:r>
      <w:proofErr w:type="spellEnd"/>
      <w:r w:rsidR="003462D8" w:rsidRPr="00FB6645">
        <w:rPr>
          <w:rFonts w:ascii="Arial" w:hAnsi="Arial" w:cs="Arial"/>
        </w:rPr>
        <w:t>.</w:t>
      </w:r>
      <w:r w:rsidR="004B7636" w:rsidRPr="00FB6645">
        <w:rPr>
          <w:rFonts w:ascii="Arial" w:hAnsi="Arial" w:cs="Arial"/>
        </w:rPr>
        <w:t xml:space="preserve"> </w:t>
      </w:r>
    </w:p>
    <w:p w14:paraId="002F22C2" w14:textId="77777777" w:rsidR="001A2F11" w:rsidRPr="00FB6645" w:rsidRDefault="001A2F11" w:rsidP="00FB6645">
      <w:pPr>
        <w:spacing w:line="276" w:lineRule="auto"/>
        <w:ind w:firstLine="360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Pismem z dnia </w:t>
      </w:r>
      <w:r w:rsidR="00D77F70" w:rsidRPr="00FB6645">
        <w:rPr>
          <w:rFonts w:ascii="Arial" w:hAnsi="Arial" w:cs="Arial"/>
        </w:rPr>
        <w:t>20 stycznia 2020 r.</w:t>
      </w:r>
      <w:r w:rsidRPr="00FB6645">
        <w:rPr>
          <w:rFonts w:ascii="Arial" w:hAnsi="Arial" w:cs="Arial"/>
        </w:rPr>
        <w:t xml:space="preserve"> </w:t>
      </w:r>
      <w:r w:rsidR="00D100BA" w:rsidRPr="00FB6645">
        <w:rPr>
          <w:rFonts w:ascii="Arial" w:hAnsi="Arial" w:cs="Arial"/>
        </w:rPr>
        <w:t>Regionalna Dyrekcja Ochrony Środowiska</w:t>
      </w:r>
      <w:r w:rsidR="009B2210" w:rsidRPr="00FB6645">
        <w:rPr>
          <w:rFonts w:ascii="Arial" w:hAnsi="Arial" w:cs="Arial"/>
        </w:rPr>
        <w:t xml:space="preserve"> </w:t>
      </w:r>
      <w:r w:rsidR="00D100BA" w:rsidRPr="00FB6645">
        <w:rPr>
          <w:rFonts w:ascii="Arial" w:hAnsi="Arial" w:cs="Arial"/>
        </w:rPr>
        <w:t xml:space="preserve">RDOŚ-GD-WOO.4221.02.3.2018.AT.3 </w:t>
      </w:r>
      <w:r w:rsidR="009B2210" w:rsidRPr="00FB6645">
        <w:rPr>
          <w:rFonts w:ascii="Arial" w:hAnsi="Arial" w:cs="Arial"/>
        </w:rPr>
        <w:t>prze</w:t>
      </w:r>
      <w:r w:rsidR="00D100BA" w:rsidRPr="00FB6645">
        <w:rPr>
          <w:rFonts w:ascii="Arial" w:hAnsi="Arial" w:cs="Arial"/>
        </w:rPr>
        <w:t>kazała</w:t>
      </w:r>
      <w:r w:rsidRPr="00FB6645">
        <w:rPr>
          <w:rFonts w:ascii="Arial" w:hAnsi="Arial" w:cs="Arial"/>
        </w:rPr>
        <w:t xml:space="preserve"> </w:t>
      </w:r>
      <w:r w:rsidR="00F27A16" w:rsidRPr="00FB6645">
        <w:rPr>
          <w:rFonts w:ascii="Arial" w:hAnsi="Arial" w:cs="Arial"/>
        </w:rPr>
        <w:t>do Urzędu Marszałkowskiego</w:t>
      </w:r>
      <w:r w:rsidRPr="00FB6645">
        <w:rPr>
          <w:rFonts w:ascii="Arial" w:hAnsi="Arial" w:cs="Arial"/>
        </w:rPr>
        <w:t xml:space="preserve"> Województwa Pomorskiego </w:t>
      </w:r>
      <w:r w:rsidR="00F27A16" w:rsidRPr="00FB6645">
        <w:rPr>
          <w:rFonts w:ascii="Arial" w:hAnsi="Arial" w:cs="Arial"/>
        </w:rPr>
        <w:t>dokument pn. „</w:t>
      </w:r>
      <w:r w:rsidR="008F28E0" w:rsidRPr="00FB6645">
        <w:rPr>
          <w:rFonts w:ascii="Arial" w:hAnsi="Arial" w:cs="Arial"/>
        </w:rPr>
        <w:t xml:space="preserve">Analiza </w:t>
      </w:r>
      <w:proofErr w:type="spellStart"/>
      <w:r w:rsidR="008F28E0" w:rsidRPr="00FB6645">
        <w:rPr>
          <w:rFonts w:ascii="Arial" w:hAnsi="Arial" w:cs="Arial"/>
        </w:rPr>
        <w:t>porealizacyjna</w:t>
      </w:r>
      <w:proofErr w:type="spellEnd"/>
      <w:r w:rsidR="008F28E0" w:rsidRPr="00FB6645">
        <w:rPr>
          <w:rFonts w:ascii="Arial" w:hAnsi="Arial" w:cs="Arial"/>
        </w:rPr>
        <w:t xml:space="preserve"> dla przedsięwzięcia: Przebudowa i rozbudowa (modernizacja) linii kolejowej E65 Warszawa – Gdynia w granicach województwa pomorskiego tj. od km 236+900 do km 328+120 oraz od km 0+000 do km 26+000”</w:t>
      </w:r>
      <w:r w:rsidR="00A42C47" w:rsidRPr="00FB6645">
        <w:rPr>
          <w:rFonts w:ascii="Arial" w:hAnsi="Arial" w:cs="Arial"/>
        </w:rPr>
        <w:t>.</w:t>
      </w:r>
      <w:r w:rsidR="00F03815" w:rsidRPr="00FB6645">
        <w:rPr>
          <w:rFonts w:ascii="Arial" w:hAnsi="Arial" w:cs="Arial"/>
        </w:rPr>
        <w:t xml:space="preserve"> </w:t>
      </w:r>
      <w:r w:rsidR="00096C24" w:rsidRPr="00FB6645">
        <w:rPr>
          <w:rFonts w:ascii="Arial" w:hAnsi="Arial" w:cs="Arial"/>
        </w:rPr>
        <w:t xml:space="preserve">Analiza </w:t>
      </w:r>
      <w:proofErr w:type="spellStart"/>
      <w:r w:rsidR="00096C24" w:rsidRPr="00FB6645">
        <w:rPr>
          <w:rFonts w:ascii="Arial" w:hAnsi="Arial" w:cs="Arial"/>
        </w:rPr>
        <w:t>porealizacyjna</w:t>
      </w:r>
      <w:proofErr w:type="spellEnd"/>
      <w:r w:rsidR="00096C24" w:rsidRPr="00FB6645">
        <w:rPr>
          <w:rFonts w:ascii="Arial" w:hAnsi="Arial" w:cs="Arial"/>
        </w:rPr>
        <w:t xml:space="preserve"> </w:t>
      </w:r>
      <w:r w:rsidRPr="00FB6645">
        <w:rPr>
          <w:rFonts w:ascii="Arial" w:hAnsi="Arial" w:cs="Arial"/>
        </w:rPr>
        <w:t>wykazał</w:t>
      </w:r>
      <w:r w:rsidR="00096C24" w:rsidRPr="00FB6645">
        <w:rPr>
          <w:rFonts w:ascii="Arial" w:hAnsi="Arial" w:cs="Arial"/>
        </w:rPr>
        <w:t>a</w:t>
      </w:r>
      <w:r w:rsidRPr="00FB6645">
        <w:rPr>
          <w:rFonts w:ascii="Arial" w:hAnsi="Arial" w:cs="Arial"/>
        </w:rPr>
        <w:t xml:space="preserve">, iż na terenach wymagających ochrony akustycznej w otoczeniu </w:t>
      </w:r>
      <w:r w:rsidR="008F28E0" w:rsidRPr="00FB6645">
        <w:rPr>
          <w:rFonts w:ascii="Arial" w:hAnsi="Arial" w:cs="Arial"/>
        </w:rPr>
        <w:t>linii kolejowej</w:t>
      </w:r>
      <w:r w:rsidRPr="00FB6645">
        <w:rPr>
          <w:rFonts w:ascii="Arial" w:hAnsi="Arial" w:cs="Arial"/>
        </w:rPr>
        <w:t xml:space="preserve"> występują przekroczenia poziomu hałasu w środowisku, zarówno w porze dnia jak i w porze nocy. W</w:t>
      </w:r>
      <w:r w:rsidR="00DC09C8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>związku z tym zaproponowano</w:t>
      </w:r>
      <w:r w:rsidR="00D46D0F" w:rsidRPr="00FB6645">
        <w:rPr>
          <w:rFonts w:ascii="Arial" w:hAnsi="Arial" w:cs="Arial"/>
        </w:rPr>
        <w:t xml:space="preserve"> dwa warianty</w:t>
      </w:r>
      <w:r w:rsidRPr="00FB6645">
        <w:rPr>
          <w:rFonts w:ascii="Arial" w:hAnsi="Arial" w:cs="Arial"/>
        </w:rPr>
        <w:t xml:space="preserve"> działa</w:t>
      </w:r>
      <w:r w:rsidR="00D46D0F" w:rsidRPr="00FB6645">
        <w:rPr>
          <w:rFonts w:ascii="Arial" w:hAnsi="Arial" w:cs="Arial"/>
        </w:rPr>
        <w:t>ń</w:t>
      </w:r>
      <w:r w:rsidRPr="00FB6645">
        <w:rPr>
          <w:rFonts w:ascii="Arial" w:hAnsi="Arial" w:cs="Arial"/>
        </w:rPr>
        <w:t xml:space="preserve"> organizacyjn</w:t>
      </w:r>
      <w:r w:rsidR="00D46D0F" w:rsidRPr="00FB6645">
        <w:rPr>
          <w:rFonts w:ascii="Arial" w:hAnsi="Arial" w:cs="Arial"/>
        </w:rPr>
        <w:t>ych</w:t>
      </w:r>
      <w:r w:rsidRPr="00FB6645">
        <w:rPr>
          <w:rFonts w:ascii="Arial" w:hAnsi="Arial" w:cs="Arial"/>
        </w:rPr>
        <w:t xml:space="preserve"> i techniczn</w:t>
      </w:r>
      <w:r w:rsidR="00D46D0F" w:rsidRPr="00FB6645">
        <w:rPr>
          <w:rFonts w:ascii="Arial" w:hAnsi="Arial" w:cs="Arial"/>
        </w:rPr>
        <w:t>ych</w:t>
      </w:r>
      <w:r w:rsidRPr="00FB6645">
        <w:rPr>
          <w:rFonts w:ascii="Arial" w:hAnsi="Arial" w:cs="Arial"/>
        </w:rPr>
        <w:t xml:space="preserve"> ograniczając</w:t>
      </w:r>
      <w:r w:rsidR="00D46D0F" w:rsidRPr="00FB6645">
        <w:rPr>
          <w:rFonts w:ascii="Arial" w:hAnsi="Arial" w:cs="Arial"/>
        </w:rPr>
        <w:t>ych</w:t>
      </w:r>
      <w:r w:rsidRPr="00FB6645">
        <w:rPr>
          <w:rFonts w:ascii="Arial" w:hAnsi="Arial" w:cs="Arial"/>
        </w:rPr>
        <w:t xml:space="preserve"> emisję hałasu</w:t>
      </w:r>
      <w:r w:rsidR="00D46D0F" w:rsidRPr="00FB6645">
        <w:rPr>
          <w:rFonts w:ascii="Arial" w:hAnsi="Arial" w:cs="Arial"/>
        </w:rPr>
        <w:t>,</w:t>
      </w:r>
      <w:r w:rsidR="008F28E0" w:rsidRPr="00FB6645">
        <w:rPr>
          <w:rFonts w:ascii="Arial" w:hAnsi="Arial" w:cs="Arial"/>
        </w:rPr>
        <w:t xml:space="preserve"> polegając</w:t>
      </w:r>
      <w:r w:rsidR="00D46D0F" w:rsidRPr="00FB6645">
        <w:rPr>
          <w:rFonts w:ascii="Arial" w:hAnsi="Arial" w:cs="Arial"/>
        </w:rPr>
        <w:t>ych</w:t>
      </w:r>
      <w:r w:rsidR="00E27E44" w:rsidRPr="00FB6645">
        <w:rPr>
          <w:rFonts w:ascii="Arial" w:hAnsi="Arial" w:cs="Arial"/>
        </w:rPr>
        <w:t xml:space="preserve"> na</w:t>
      </w:r>
      <w:r w:rsidR="00D46D0F" w:rsidRPr="00FB6645">
        <w:rPr>
          <w:rFonts w:ascii="Arial" w:hAnsi="Arial" w:cs="Arial"/>
        </w:rPr>
        <w:t xml:space="preserve"> (w zależności od lokalizacji i możliwości technicznych)</w:t>
      </w:r>
      <w:r w:rsidR="00E27E44" w:rsidRPr="00FB6645">
        <w:rPr>
          <w:rFonts w:ascii="Arial" w:hAnsi="Arial" w:cs="Arial"/>
        </w:rPr>
        <w:t>:</w:t>
      </w:r>
    </w:p>
    <w:p w14:paraId="2B552A4B" w14:textId="77777777" w:rsidR="00E27E44" w:rsidRPr="00FB6645" w:rsidRDefault="00D46D0F" w:rsidP="00FB6645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budowie ekranów akustycznych,</w:t>
      </w:r>
    </w:p>
    <w:p w14:paraId="7D445377" w14:textId="77777777" w:rsidR="00D46D0F" w:rsidRPr="00FB6645" w:rsidRDefault="00D46D0F" w:rsidP="00FB6645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budowie ekranów odbijających,</w:t>
      </w:r>
    </w:p>
    <w:p w14:paraId="4142EAC0" w14:textId="77777777" w:rsidR="00D46D0F" w:rsidRPr="00FB6645" w:rsidRDefault="00D46D0F" w:rsidP="00FB6645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podwyższeniu istniejących ekranów,</w:t>
      </w:r>
    </w:p>
    <w:p w14:paraId="3F349E98" w14:textId="77777777" w:rsidR="00D46D0F" w:rsidRPr="00FB6645" w:rsidRDefault="00D46D0F" w:rsidP="00FB6645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montażu amortyzatorów </w:t>
      </w:r>
      <w:proofErr w:type="spellStart"/>
      <w:r w:rsidRPr="00FB6645">
        <w:rPr>
          <w:rFonts w:ascii="Arial" w:hAnsi="Arial" w:cs="Arial"/>
        </w:rPr>
        <w:t>przyszynowych</w:t>
      </w:r>
      <w:proofErr w:type="spellEnd"/>
      <w:r w:rsidRPr="00FB6645">
        <w:rPr>
          <w:rFonts w:ascii="Arial" w:hAnsi="Arial" w:cs="Arial"/>
        </w:rPr>
        <w:t>,</w:t>
      </w:r>
    </w:p>
    <w:p w14:paraId="60B4F4B3" w14:textId="77777777" w:rsidR="00D46D0F" w:rsidRPr="00FB6645" w:rsidRDefault="00D46D0F" w:rsidP="00FB6645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montażu </w:t>
      </w:r>
      <w:proofErr w:type="spellStart"/>
      <w:r w:rsidRPr="00FB6645">
        <w:rPr>
          <w:rFonts w:ascii="Arial" w:hAnsi="Arial" w:cs="Arial"/>
        </w:rPr>
        <w:t>dyfraktorów</w:t>
      </w:r>
      <w:proofErr w:type="spellEnd"/>
      <w:r w:rsidRPr="00FB6645">
        <w:rPr>
          <w:rFonts w:ascii="Arial" w:hAnsi="Arial" w:cs="Arial"/>
        </w:rPr>
        <w:t xml:space="preserve"> na istniejących ekranach.</w:t>
      </w:r>
    </w:p>
    <w:p w14:paraId="191C5BCF" w14:textId="77777777" w:rsidR="00D46D0F" w:rsidRPr="00FB6645" w:rsidRDefault="00D46D0F" w:rsidP="00FB6645">
      <w:p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Dodatkowo zalecono działania wspomagające w postaci bieżącego utrzymania torowiska w dobrym stanie technicznym poprzez cykliczne szlifowanie szyn i podbijanie torowiska.</w:t>
      </w:r>
    </w:p>
    <w:p w14:paraId="6FFAD370" w14:textId="77777777" w:rsidR="001A2F11" w:rsidRPr="00FB6645" w:rsidRDefault="00E803E2" w:rsidP="00FB6645">
      <w:pPr>
        <w:spacing w:line="276" w:lineRule="auto"/>
        <w:ind w:firstLine="360"/>
        <w:rPr>
          <w:rFonts w:ascii="Arial" w:hAnsi="Arial" w:cs="Arial"/>
        </w:rPr>
      </w:pPr>
      <w:r w:rsidRPr="00FB6645">
        <w:rPr>
          <w:rFonts w:ascii="Arial" w:hAnsi="Arial" w:cs="Arial"/>
        </w:rPr>
        <w:t xml:space="preserve">Powyższe działania </w:t>
      </w:r>
      <w:r w:rsidR="00AE32C6" w:rsidRPr="00FB6645">
        <w:rPr>
          <w:rFonts w:ascii="Arial" w:hAnsi="Arial" w:cs="Arial"/>
        </w:rPr>
        <w:t xml:space="preserve">wyczerpały praktyczne możliwości techniczne, technologiczne i organizacyjne ograniczenia hałasu </w:t>
      </w:r>
      <w:r w:rsidR="0039555B" w:rsidRPr="00FB6645">
        <w:rPr>
          <w:rFonts w:ascii="Arial" w:hAnsi="Arial" w:cs="Arial"/>
        </w:rPr>
        <w:t>pochodzącego od linii kolejowej</w:t>
      </w:r>
      <w:r w:rsidR="00AE32C6" w:rsidRPr="00FB6645">
        <w:rPr>
          <w:rFonts w:ascii="Arial" w:hAnsi="Arial" w:cs="Arial"/>
        </w:rPr>
        <w:t xml:space="preserve">. Z uwagi na fakt, iż, </w:t>
      </w:r>
      <w:r w:rsidR="00AE32C6" w:rsidRPr="00FB6645">
        <w:rPr>
          <w:rFonts w:ascii="Arial" w:hAnsi="Arial" w:cs="Arial"/>
        </w:rPr>
        <w:lastRenderedPageBreak/>
        <w:t xml:space="preserve">mimo podjęcia tych działań, hałas związany z funkcjonowaniem </w:t>
      </w:r>
      <w:r w:rsidR="0039555B" w:rsidRPr="00FB6645">
        <w:rPr>
          <w:rFonts w:ascii="Arial" w:hAnsi="Arial" w:cs="Arial"/>
        </w:rPr>
        <w:t xml:space="preserve">linii kolejowej </w:t>
      </w:r>
      <w:r w:rsidR="00AE32C6" w:rsidRPr="00FB6645">
        <w:rPr>
          <w:rFonts w:ascii="Arial" w:hAnsi="Arial" w:cs="Arial"/>
        </w:rPr>
        <w:t xml:space="preserve">wykracza </w:t>
      </w:r>
      <w:r w:rsidR="004D5C5A" w:rsidRPr="00FB6645">
        <w:rPr>
          <w:rFonts w:ascii="Arial" w:hAnsi="Arial" w:cs="Arial"/>
        </w:rPr>
        <w:t xml:space="preserve">w wielu miejscach </w:t>
      </w:r>
      <w:r w:rsidR="00AE32C6" w:rsidRPr="00FB6645">
        <w:rPr>
          <w:rFonts w:ascii="Arial" w:hAnsi="Arial" w:cs="Arial"/>
        </w:rPr>
        <w:t>poza teren</w:t>
      </w:r>
      <w:r w:rsidR="0039555B" w:rsidRPr="00FB6645">
        <w:rPr>
          <w:rFonts w:ascii="Arial" w:hAnsi="Arial" w:cs="Arial"/>
        </w:rPr>
        <w:t>y</w:t>
      </w:r>
      <w:r w:rsidR="004D5C5A" w:rsidRPr="00FB6645">
        <w:rPr>
          <w:rFonts w:ascii="Arial" w:hAnsi="Arial" w:cs="Arial"/>
        </w:rPr>
        <w:t>,</w:t>
      </w:r>
      <w:r w:rsidR="00AE32C6" w:rsidRPr="00FB6645">
        <w:rPr>
          <w:rFonts w:ascii="Arial" w:hAnsi="Arial" w:cs="Arial"/>
        </w:rPr>
        <w:t xml:space="preserve"> do któr</w:t>
      </w:r>
      <w:r w:rsidR="0039555B" w:rsidRPr="00FB6645">
        <w:rPr>
          <w:rFonts w:ascii="Arial" w:hAnsi="Arial" w:cs="Arial"/>
        </w:rPr>
        <w:t>ych</w:t>
      </w:r>
      <w:r w:rsidR="00AE32C6" w:rsidRPr="00FB6645">
        <w:rPr>
          <w:rFonts w:ascii="Arial" w:hAnsi="Arial" w:cs="Arial"/>
        </w:rPr>
        <w:t xml:space="preserve"> </w:t>
      </w:r>
      <w:r w:rsidR="0039555B" w:rsidRPr="00FB6645">
        <w:rPr>
          <w:rFonts w:ascii="Arial" w:hAnsi="Arial" w:cs="Arial"/>
        </w:rPr>
        <w:t xml:space="preserve">PKP Polskie Linie Kolejowe S.A. </w:t>
      </w:r>
      <w:r w:rsidR="00AE32C6" w:rsidRPr="00FB6645">
        <w:rPr>
          <w:rFonts w:ascii="Arial" w:hAnsi="Arial" w:cs="Arial"/>
        </w:rPr>
        <w:t xml:space="preserve">posiada tytuł prawny, zaistniała konieczność zaprojektowania obszaru ograniczonego użytkowania wokół </w:t>
      </w:r>
      <w:r w:rsidR="0039555B" w:rsidRPr="00FB6645">
        <w:rPr>
          <w:rFonts w:ascii="Arial" w:hAnsi="Arial" w:cs="Arial"/>
        </w:rPr>
        <w:t>przedmiotowej linii kolejowej</w:t>
      </w:r>
      <w:r w:rsidR="00AE32C6" w:rsidRPr="00FB6645">
        <w:rPr>
          <w:rFonts w:ascii="Arial" w:hAnsi="Arial" w:cs="Arial"/>
        </w:rPr>
        <w:t>.</w:t>
      </w:r>
    </w:p>
    <w:p w14:paraId="048E5538" w14:textId="0E7B16E5" w:rsidR="0039555B" w:rsidRPr="00FB6645" w:rsidRDefault="006A0D50" w:rsidP="00FB6645">
      <w:pPr>
        <w:spacing w:line="276" w:lineRule="auto"/>
        <w:ind w:firstLine="360"/>
        <w:rPr>
          <w:rFonts w:ascii="Arial" w:hAnsi="Arial" w:cs="Arial"/>
        </w:rPr>
      </w:pPr>
      <w:r w:rsidRPr="00FB6645">
        <w:rPr>
          <w:rFonts w:ascii="Arial" w:hAnsi="Arial" w:cs="Arial"/>
        </w:rPr>
        <w:t>Zgodnie z art. 135 ust. 3a ustawy Prawo ochrony środowiska, organ tworzący obszar ograniczonego użytkowania ma obowiązek określić granice obszaru, ograniczenia w zakresie przeznaczenia terenu, wymaga</w:t>
      </w:r>
      <w:r w:rsidR="008021D8" w:rsidRPr="00FB6645">
        <w:rPr>
          <w:rFonts w:ascii="Arial" w:hAnsi="Arial" w:cs="Arial"/>
        </w:rPr>
        <w:t>nia</w:t>
      </w:r>
      <w:r w:rsidRPr="00FB6645">
        <w:rPr>
          <w:rFonts w:ascii="Arial" w:hAnsi="Arial" w:cs="Arial"/>
        </w:rPr>
        <w:t xml:space="preserve"> techniczne dotyczące budynków oraz sposób korzystania z terenów. W przedłożonej tut. organowi</w:t>
      </w:r>
      <w:r w:rsidR="0039555B" w:rsidRPr="00FB6645">
        <w:rPr>
          <w:rFonts w:ascii="Arial" w:hAnsi="Arial" w:cs="Arial"/>
        </w:rPr>
        <w:t xml:space="preserve"> analizie </w:t>
      </w:r>
      <w:proofErr w:type="spellStart"/>
      <w:r w:rsidR="0039555B" w:rsidRPr="00FB6645">
        <w:rPr>
          <w:rFonts w:ascii="Arial" w:hAnsi="Arial" w:cs="Arial"/>
        </w:rPr>
        <w:t>porealizacyjnej</w:t>
      </w:r>
      <w:proofErr w:type="spellEnd"/>
      <w:r w:rsidR="008021D8" w:rsidRPr="00FB6645">
        <w:rPr>
          <w:rFonts w:ascii="Arial" w:hAnsi="Arial" w:cs="Arial"/>
        </w:rPr>
        <w:t xml:space="preserve"> </w:t>
      </w:r>
      <w:r w:rsidRPr="00FB6645">
        <w:rPr>
          <w:rFonts w:ascii="Arial" w:hAnsi="Arial" w:cs="Arial"/>
        </w:rPr>
        <w:t xml:space="preserve">obszar ograniczonego użytkowania został zaproponowany </w:t>
      </w:r>
      <w:r w:rsidR="0039555B" w:rsidRPr="00FB6645">
        <w:rPr>
          <w:rFonts w:ascii="Arial" w:hAnsi="Arial" w:cs="Arial"/>
        </w:rPr>
        <w:t>wyłącznie dla terenów objętych w chwili wykonywania opracowania ochroną akustyczną, dla których jednocześnie stwierdzono, że podjęte działania techniczno-organizacyjne nie zapewnią dotrzymania norm w zakresie hałasu</w:t>
      </w:r>
      <w:r w:rsidR="0037104E" w:rsidRPr="00FB6645">
        <w:rPr>
          <w:rFonts w:ascii="Arial" w:hAnsi="Arial" w:cs="Arial"/>
        </w:rPr>
        <w:t xml:space="preserve">. W związku z powyższym tutejszy organ zlecił wykonanie ekspertyzy, której celem była identyfikacja wszystkich terenów, dla których </w:t>
      </w:r>
      <w:r w:rsidR="00B90CB1" w:rsidRPr="00FB6645">
        <w:rPr>
          <w:rFonts w:ascii="Arial" w:hAnsi="Arial" w:cs="Arial"/>
        </w:rPr>
        <w:t xml:space="preserve">przekraczane są </w:t>
      </w:r>
      <w:r w:rsidR="0037104E" w:rsidRPr="00FB6645">
        <w:rPr>
          <w:rFonts w:ascii="Arial" w:hAnsi="Arial" w:cs="Arial"/>
        </w:rPr>
        <w:t xml:space="preserve">dopuszczalne poziomy hałasu w środowisku, określone </w:t>
      </w:r>
      <w:r w:rsidR="00D55395" w:rsidRPr="00FB6645">
        <w:rPr>
          <w:rFonts w:ascii="Arial" w:hAnsi="Arial" w:cs="Arial"/>
        </w:rPr>
        <w:t xml:space="preserve">Rozporządzeniem Ministra Środowiska z dnia 14 czerwca 2007 r. </w:t>
      </w:r>
      <w:r w:rsidR="00D55395" w:rsidRPr="00FB6645">
        <w:rPr>
          <w:rFonts w:ascii="Arial" w:hAnsi="Arial" w:cs="Arial"/>
          <w:i/>
        </w:rPr>
        <w:t>w sprawie dopuszczalnych poziomów hałasu w środowisku</w:t>
      </w:r>
      <w:r w:rsidR="00D55395" w:rsidRPr="00FB6645">
        <w:rPr>
          <w:rFonts w:ascii="Arial" w:hAnsi="Arial" w:cs="Arial"/>
        </w:rPr>
        <w:t xml:space="preserve"> (Dz. U. z 2014 r. poz. 112)</w:t>
      </w:r>
      <w:r w:rsidR="00075EF8" w:rsidRPr="00FB6645">
        <w:rPr>
          <w:rFonts w:ascii="Arial" w:hAnsi="Arial" w:cs="Arial"/>
        </w:rPr>
        <w:t>.</w:t>
      </w:r>
      <w:r w:rsidR="00D60020" w:rsidRPr="00FB6645">
        <w:rPr>
          <w:rFonts w:ascii="Arial" w:hAnsi="Arial" w:cs="Arial"/>
        </w:rPr>
        <w:t xml:space="preserve"> </w:t>
      </w:r>
      <w:r w:rsidR="00075EF8" w:rsidRPr="00FB6645">
        <w:rPr>
          <w:rFonts w:ascii="Arial" w:hAnsi="Arial" w:cs="Arial"/>
        </w:rPr>
        <w:t>Ekspertyza ta pozwala</w:t>
      </w:r>
      <w:r w:rsidR="00D60020" w:rsidRPr="00FB6645">
        <w:rPr>
          <w:rFonts w:ascii="Arial" w:hAnsi="Arial" w:cs="Arial"/>
        </w:rPr>
        <w:t xml:space="preserve"> utworzyć obszar</w:t>
      </w:r>
      <w:r w:rsidR="00075EF8" w:rsidRPr="00FB6645">
        <w:rPr>
          <w:rFonts w:ascii="Arial" w:hAnsi="Arial" w:cs="Arial"/>
        </w:rPr>
        <w:t xml:space="preserve"> ograniczonego użytkowania</w:t>
      </w:r>
      <w:r w:rsidR="00D60020" w:rsidRPr="00FB6645">
        <w:rPr>
          <w:rFonts w:ascii="Arial" w:hAnsi="Arial" w:cs="Arial"/>
        </w:rPr>
        <w:t xml:space="preserve">, który </w:t>
      </w:r>
      <w:r w:rsidR="00B90CB1" w:rsidRPr="00FB6645">
        <w:rPr>
          <w:rFonts w:ascii="Arial" w:hAnsi="Arial" w:cs="Arial"/>
        </w:rPr>
        <w:t>nie tylko będzie chronił istniejącą zabudowę, ale także zabezpieczał tereny wokół linii kolejowej przed tworzeniem nowej zabudowy, która nie zapewnia odpowiednich warunków akustycznych wewnątrz budynków</w:t>
      </w:r>
      <w:r w:rsidR="00D55395" w:rsidRPr="00FB6645">
        <w:rPr>
          <w:rFonts w:ascii="Arial" w:hAnsi="Arial" w:cs="Arial"/>
        </w:rPr>
        <w:t xml:space="preserve">. Ekspertyza ta, </w:t>
      </w:r>
      <w:r w:rsidR="008D014C" w:rsidRPr="00FB6645">
        <w:rPr>
          <w:rFonts w:ascii="Arial" w:hAnsi="Arial" w:cs="Arial"/>
        </w:rPr>
        <w:t>przekazana</w:t>
      </w:r>
      <w:r w:rsidR="00D55395" w:rsidRPr="00FB6645">
        <w:rPr>
          <w:rFonts w:ascii="Arial" w:hAnsi="Arial" w:cs="Arial"/>
        </w:rPr>
        <w:t xml:space="preserve"> </w:t>
      </w:r>
      <w:r w:rsidR="008D014C" w:rsidRPr="00FB6645">
        <w:rPr>
          <w:rFonts w:ascii="Arial" w:hAnsi="Arial" w:cs="Arial"/>
        </w:rPr>
        <w:t xml:space="preserve">26 </w:t>
      </w:r>
      <w:r w:rsidR="00D55395" w:rsidRPr="00FB6645">
        <w:rPr>
          <w:rFonts w:ascii="Arial" w:hAnsi="Arial" w:cs="Arial"/>
        </w:rPr>
        <w:t>listopada 2025 r., pozwoliła w sposób jednoznaczny określić</w:t>
      </w:r>
      <w:r w:rsidR="008D014C" w:rsidRPr="00FB6645">
        <w:rPr>
          <w:rFonts w:ascii="Arial" w:hAnsi="Arial" w:cs="Arial"/>
        </w:rPr>
        <w:t xml:space="preserve"> </w:t>
      </w:r>
      <w:r w:rsidR="00075EF8" w:rsidRPr="00FB6645">
        <w:rPr>
          <w:rFonts w:ascii="Arial" w:hAnsi="Arial" w:cs="Arial"/>
        </w:rPr>
        <w:t xml:space="preserve">granicę </w:t>
      </w:r>
      <w:r w:rsidR="008D014C" w:rsidRPr="00FB6645">
        <w:rPr>
          <w:rFonts w:ascii="Arial" w:hAnsi="Arial" w:cs="Arial"/>
        </w:rPr>
        <w:t>obszar</w:t>
      </w:r>
      <w:r w:rsidR="00075EF8" w:rsidRPr="00FB6645">
        <w:rPr>
          <w:rFonts w:ascii="Arial" w:hAnsi="Arial" w:cs="Arial"/>
        </w:rPr>
        <w:t>u</w:t>
      </w:r>
      <w:r w:rsidR="008D014C" w:rsidRPr="00FB6645">
        <w:rPr>
          <w:rFonts w:ascii="Arial" w:hAnsi="Arial" w:cs="Arial"/>
        </w:rPr>
        <w:t>, dla któr</w:t>
      </w:r>
      <w:r w:rsidR="00075EF8" w:rsidRPr="00FB6645">
        <w:rPr>
          <w:rFonts w:ascii="Arial" w:hAnsi="Arial" w:cs="Arial"/>
        </w:rPr>
        <w:t>ego</w:t>
      </w:r>
      <w:r w:rsidR="008D014C" w:rsidRPr="00FB6645">
        <w:rPr>
          <w:rFonts w:ascii="Arial" w:hAnsi="Arial" w:cs="Arial"/>
        </w:rPr>
        <w:t xml:space="preserve"> konieczne jest określenie obszaru ograniczonego użytkowania.</w:t>
      </w:r>
    </w:p>
    <w:p w14:paraId="6367FD9D" w14:textId="7B79D0E6" w:rsidR="001A2F11" w:rsidRPr="00FB6645" w:rsidRDefault="001A2F11" w:rsidP="00FB6645">
      <w:pPr>
        <w:spacing w:line="276" w:lineRule="auto"/>
        <w:ind w:firstLine="360"/>
        <w:rPr>
          <w:rFonts w:ascii="Arial" w:hAnsi="Arial" w:cs="Arial"/>
        </w:rPr>
      </w:pPr>
      <w:r w:rsidRPr="00FB6645">
        <w:rPr>
          <w:rFonts w:ascii="Arial" w:hAnsi="Arial" w:cs="Arial"/>
        </w:rPr>
        <w:t>Granic</w:t>
      </w:r>
      <w:r w:rsidR="00075EF8" w:rsidRPr="00FB6645">
        <w:rPr>
          <w:rFonts w:ascii="Arial" w:hAnsi="Arial" w:cs="Arial"/>
        </w:rPr>
        <w:t>ę</w:t>
      </w:r>
      <w:r w:rsidRPr="00FB6645">
        <w:rPr>
          <w:rFonts w:ascii="Arial" w:hAnsi="Arial" w:cs="Arial"/>
        </w:rPr>
        <w:t xml:space="preserve"> t</w:t>
      </w:r>
      <w:r w:rsidR="003C2E4E" w:rsidRPr="00FB6645">
        <w:rPr>
          <w:rFonts w:ascii="Arial" w:hAnsi="Arial" w:cs="Arial"/>
        </w:rPr>
        <w:t xml:space="preserve">ę </w:t>
      </w:r>
      <w:r w:rsidRPr="00FB6645">
        <w:rPr>
          <w:rFonts w:ascii="Arial" w:hAnsi="Arial" w:cs="Arial"/>
        </w:rPr>
        <w:t>wyznaczono</w:t>
      </w:r>
      <w:r w:rsidR="003C2E4E" w:rsidRPr="00FB6645">
        <w:rPr>
          <w:rFonts w:ascii="Arial" w:hAnsi="Arial" w:cs="Arial"/>
        </w:rPr>
        <w:t>,</w:t>
      </w:r>
      <w:r w:rsidRPr="00FB6645">
        <w:rPr>
          <w:rFonts w:ascii="Arial" w:hAnsi="Arial" w:cs="Arial"/>
        </w:rPr>
        <w:t xml:space="preserve"> biorąc pod uwagę</w:t>
      </w:r>
      <w:r w:rsidR="00110987" w:rsidRPr="00FB6645">
        <w:rPr>
          <w:rFonts w:ascii="Arial" w:hAnsi="Arial" w:cs="Arial"/>
        </w:rPr>
        <w:t xml:space="preserve"> hałas powodowany </w:t>
      </w:r>
      <w:r w:rsidR="00F54D92" w:rsidRPr="00FB6645">
        <w:rPr>
          <w:rFonts w:ascii="Arial" w:hAnsi="Arial" w:cs="Arial"/>
        </w:rPr>
        <w:t xml:space="preserve">przez </w:t>
      </w:r>
      <w:r w:rsidR="00075EF8" w:rsidRPr="00FB6645">
        <w:rPr>
          <w:rFonts w:ascii="Arial" w:hAnsi="Arial" w:cs="Arial"/>
        </w:rPr>
        <w:t>pojazdy szynowe poruszające się po linii kolejowej E65</w:t>
      </w:r>
      <w:r w:rsidR="00F54D92" w:rsidRPr="00FB6645">
        <w:rPr>
          <w:rFonts w:ascii="Arial" w:hAnsi="Arial" w:cs="Arial"/>
        </w:rPr>
        <w:t>.</w:t>
      </w:r>
      <w:r w:rsidR="00075EF8" w:rsidRPr="00FB6645">
        <w:rPr>
          <w:rFonts w:ascii="Arial" w:hAnsi="Arial" w:cs="Arial"/>
        </w:rPr>
        <w:t xml:space="preserve"> Granicę zewnętrzną obszaru ograniczonego użytkowania wyznaczono na podstawie obwiedni izolinii równoważnego poziomu dźwięku A, pochodzącego od linii kolejowej E65 </w:t>
      </w:r>
      <w:proofErr w:type="spellStart"/>
      <w:r w:rsidR="00075EF8" w:rsidRPr="00FB6645">
        <w:rPr>
          <w:rFonts w:ascii="Arial" w:hAnsi="Arial" w:cs="Arial"/>
        </w:rPr>
        <w:t>L</w:t>
      </w:r>
      <w:r w:rsidR="00075EF8" w:rsidRPr="00FB6645">
        <w:rPr>
          <w:rFonts w:ascii="Arial" w:hAnsi="Arial" w:cs="Arial"/>
          <w:vertAlign w:val="subscript"/>
        </w:rPr>
        <w:t>AeqN</w:t>
      </w:r>
      <w:proofErr w:type="spellEnd"/>
      <w:r w:rsidR="00075EF8" w:rsidRPr="00FB6645">
        <w:rPr>
          <w:rFonts w:ascii="Arial" w:hAnsi="Arial" w:cs="Arial"/>
          <w:vertAlign w:val="subscript"/>
        </w:rPr>
        <w:t xml:space="preserve"> </w:t>
      </w:r>
      <w:r w:rsidR="00075EF8" w:rsidRPr="00FB6645">
        <w:rPr>
          <w:rFonts w:ascii="Arial" w:hAnsi="Arial" w:cs="Arial"/>
        </w:rPr>
        <w:t xml:space="preserve">= 56 </w:t>
      </w:r>
      <w:proofErr w:type="spellStart"/>
      <w:r w:rsidR="00075EF8" w:rsidRPr="00FB6645">
        <w:rPr>
          <w:rFonts w:ascii="Arial" w:hAnsi="Arial" w:cs="Arial"/>
        </w:rPr>
        <w:t>dB</w:t>
      </w:r>
      <w:proofErr w:type="spellEnd"/>
      <w:r w:rsidR="00075EF8" w:rsidRPr="00FB6645">
        <w:rPr>
          <w:rFonts w:ascii="Arial" w:hAnsi="Arial" w:cs="Arial"/>
        </w:rPr>
        <w:t xml:space="preserve">, z wyjątkiem stref śródmiejskich miast powyżej 100 tysięcy mieszkańców, dla których granica obszaru przebiega po izolinii </w:t>
      </w:r>
      <w:proofErr w:type="spellStart"/>
      <w:r w:rsidR="00075EF8" w:rsidRPr="00FB6645">
        <w:rPr>
          <w:rFonts w:ascii="Arial" w:hAnsi="Arial" w:cs="Arial"/>
        </w:rPr>
        <w:t>L</w:t>
      </w:r>
      <w:r w:rsidR="00075EF8" w:rsidRPr="00FB6645">
        <w:rPr>
          <w:rFonts w:ascii="Arial" w:hAnsi="Arial" w:cs="Arial"/>
          <w:vertAlign w:val="subscript"/>
        </w:rPr>
        <w:t>AeqN</w:t>
      </w:r>
      <w:proofErr w:type="spellEnd"/>
      <w:r w:rsidR="00075EF8" w:rsidRPr="00FB6645">
        <w:rPr>
          <w:rFonts w:ascii="Arial" w:hAnsi="Arial" w:cs="Arial"/>
        </w:rPr>
        <w:t xml:space="preserve"> = 60 </w:t>
      </w:r>
      <w:proofErr w:type="spellStart"/>
      <w:r w:rsidR="00075EF8" w:rsidRPr="00FB6645">
        <w:rPr>
          <w:rFonts w:ascii="Arial" w:hAnsi="Arial" w:cs="Arial"/>
        </w:rPr>
        <w:t>dB</w:t>
      </w:r>
      <w:proofErr w:type="spellEnd"/>
      <w:r w:rsidR="00075EF8" w:rsidRPr="00FB6645">
        <w:rPr>
          <w:rFonts w:ascii="Arial" w:hAnsi="Arial" w:cs="Arial"/>
        </w:rPr>
        <w:t>. Granicę wewnętrzną obszaru ograniczonego użytkowania stanowią granice działek będących w zarządzie PKP PLK S.A., które wyłączono z obszaru ograniczonego użytkowania</w:t>
      </w:r>
      <w:r w:rsidR="00937351" w:rsidRPr="00FB6645">
        <w:rPr>
          <w:rFonts w:ascii="Arial" w:hAnsi="Arial" w:cs="Arial"/>
        </w:rPr>
        <w:t>.</w:t>
      </w:r>
    </w:p>
    <w:p w14:paraId="49A4416E" w14:textId="10537FAE" w:rsidR="001A2F11" w:rsidRPr="00FB6645" w:rsidRDefault="001A2F11" w:rsidP="00FB6645">
      <w:pPr>
        <w:spacing w:line="276" w:lineRule="auto"/>
        <w:ind w:firstLine="360"/>
        <w:rPr>
          <w:rFonts w:ascii="Arial" w:hAnsi="Arial" w:cs="Arial"/>
        </w:rPr>
      </w:pPr>
      <w:r w:rsidRPr="00FB6645">
        <w:rPr>
          <w:rFonts w:ascii="Arial" w:hAnsi="Arial" w:cs="Arial"/>
        </w:rPr>
        <w:t>W związku z wprowadzeniem obszaru ograniczonego użytkowania, dla terenów zlokalizowanych na granicy i wewnątrz obszaru określono:</w:t>
      </w:r>
    </w:p>
    <w:p w14:paraId="3D6EFECA" w14:textId="77777777" w:rsidR="001A2F11" w:rsidRPr="00FB6645" w:rsidRDefault="001A2F11" w:rsidP="00FB6645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ograniczenia w zakresie przeznaczenia terenu,</w:t>
      </w:r>
    </w:p>
    <w:p w14:paraId="66315F73" w14:textId="77777777" w:rsidR="001A2F11" w:rsidRPr="00FB6645" w:rsidRDefault="001A2F11" w:rsidP="00FB6645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wymagania techniczne dotyczące budynków (odpowiednia izolacyjność akustyczna przegród zewnętrznych),</w:t>
      </w:r>
    </w:p>
    <w:p w14:paraId="0F27B757" w14:textId="77777777" w:rsidR="001A2F11" w:rsidRPr="00FB6645" w:rsidRDefault="001A2F11" w:rsidP="00FB6645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FB6645">
        <w:rPr>
          <w:rFonts w:ascii="Arial" w:hAnsi="Arial" w:cs="Arial"/>
        </w:rPr>
        <w:t>ograniczenia i zmiany w sposobach korzystania z terenów.</w:t>
      </w:r>
    </w:p>
    <w:p w14:paraId="606852D7" w14:textId="77777777" w:rsidR="00937351" w:rsidRPr="00FB6645" w:rsidRDefault="00937351" w:rsidP="00FB6645">
      <w:pPr>
        <w:spacing w:line="276" w:lineRule="auto"/>
        <w:ind w:firstLine="708"/>
        <w:rPr>
          <w:rFonts w:ascii="Arial" w:hAnsi="Arial" w:cs="Arial"/>
        </w:rPr>
      </w:pPr>
    </w:p>
    <w:p w14:paraId="0A0CB41F" w14:textId="0D0600ED" w:rsidR="001A2F11" w:rsidRPr="00FB6645" w:rsidRDefault="001A2F11" w:rsidP="00FB6645">
      <w:pPr>
        <w:spacing w:line="276" w:lineRule="auto"/>
        <w:ind w:firstLine="708"/>
        <w:rPr>
          <w:rFonts w:ascii="Arial" w:hAnsi="Arial" w:cs="Arial"/>
        </w:rPr>
      </w:pPr>
      <w:r w:rsidRPr="00FB6645">
        <w:rPr>
          <w:rFonts w:ascii="Arial" w:hAnsi="Arial" w:cs="Arial"/>
        </w:rPr>
        <w:t>Granice obszaru ograniczonego użytkowania opisane zostały za pomocą współrzędnych geodezyjnych, pozwalających na jednoznaczne i precyzyjne ich wyznaczenie. Ponadto, w celu łatwiejszej identyfikacji, załączono wykaz obrębów geodezyjnych i działek położonych w obszarze ograniczonego użytkowania.</w:t>
      </w:r>
    </w:p>
    <w:p w14:paraId="131BBF14" w14:textId="77777777" w:rsidR="001A2F11" w:rsidRPr="00FB6645" w:rsidRDefault="001A2F11" w:rsidP="00FB6645">
      <w:pPr>
        <w:spacing w:line="276" w:lineRule="auto"/>
        <w:ind w:firstLine="708"/>
        <w:rPr>
          <w:rFonts w:ascii="Arial" w:hAnsi="Arial" w:cs="Arial"/>
        </w:rPr>
      </w:pPr>
      <w:r w:rsidRPr="00FB6645">
        <w:rPr>
          <w:rFonts w:ascii="Arial" w:hAnsi="Arial" w:cs="Arial"/>
        </w:rPr>
        <w:t>Zgodnie z art. 136 ustawy Prawo ochrony środowiska, w razie ograniczenia sposobu korzystania ze środowiska w wyniku ustanowienia obszaru ograniczonego użytkowania właściwymi w sprawach spornych dotyczących wysokości odszkodow</w:t>
      </w:r>
      <w:r w:rsidR="008569BA" w:rsidRPr="00FB6645">
        <w:rPr>
          <w:rFonts w:ascii="Arial" w:hAnsi="Arial" w:cs="Arial"/>
        </w:rPr>
        <w:t>ania lub wykupu nieruchomości są</w:t>
      </w:r>
      <w:r w:rsidRPr="00FB6645">
        <w:rPr>
          <w:rFonts w:ascii="Arial" w:hAnsi="Arial" w:cs="Arial"/>
        </w:rPr>
        <w:t xml:space="preserve"> </w:t>
      </w:r>
      <w:r w:rsidRPr="00FB6645">
        <w:rPr>
          <w:rFonts w:ascii="Arial" w:hAnsi="Arial" w:cs="Arial"/>
          <w:bCs/>
        </w:rPr>
        <w:t>sądy powszechne.</w:t>
      </w:r>
    </w:p>
    <w:p w14:paraId="2A7E1EBC" w14:textId="77777777" w:rsidR="001A2F11" w:rsidRPr="00FB6645" w:rsidRDefault="001A2F11" w:rsidP="00FB6645">
      <w:pPr>
        <w:spacing w:line="276" w:lineRule="auto"/>
        <w:ind w:firstLine="708"/>
        <w:rPr>
          <w:rFonts w:ascii="Arial" w:hAnsi="Arial" w:cs="Arial"/>
        </w:rPr>
      </w:pPr>
      <w:r w:rsidRPr="00FB6645">
        <w:rPr>
          <w:rFonts w:ascii="Arial" w:hAnsi="Arial" w:cs="Arial"/>
        </w:rPr>
        <w:lastRenderedPageBreak/>
        <w:t>Obowiązany do wypłaty odszkodowania lub wykupu nieruchomości jest ten, którego działalność spowodowała wprowadzenie ograniczeń w związku z ustanowieniem obszaru ograniczonego użytkowania.</w:t>
      </w:r>
    </w:p>
    <w:p w14:paraId="436DDC2D" w14:textId="77777777" w:rsidR="007A7F0E" w:rsidRPr="00FB6645" w:rsidRDefault="001A2F11" w:rsidP="00FB6645">
      <w:pPr>
        <w:spacing w:line="276" w:lineRule="auto"/>
        <w:ind w:firstLine="708"/>
        <w:rPr>
          <w:rFonts w:ascii="Arial" w:hAnsi="Arial" w:cs="Arial"/>
        </w:rPr>
      </w:pPr>
      <w:r w:rsidRPr="00FB6645">
        <w:rPr>
          <w:rFonts w:ascii="Arial" w:hAnsi="Arial" w:cs="Arial"/>
        </w:rPr>
        <w:t>W razie określenia na obszarze ograniczonego użytkowania wymagań techniczn</w:t>
      </w:r>
      <w:r w:rsidR="008569BA" w:rsidRPr="00FB6645">
        <w:rPr>
          <w:rFonts w:ascii="Arial" w:hAnsi="Arial" w:cs="Arial"/>
        </w:rPr>
        <w:t>ych dotyczących budynków, szkodą</w:t>
      </w:r>
      <w:r w:rsidRPr="00FB6645">
        <w:rPr>
          <w:rFonts w:ascii="Arial" w:hAnsi="Arial" w:cs="Arial"/>
        </w:rPr>
        <w:t xml:space="preserve"> są także koszty poniesione w celu wypełnienia tych wymagań przez istniejące budynki, nawet w</w:t>
      </w:r>
      <w:r w:rsidR="009B2210" w:rsidRPr="00FB6645">
        <w:rPr>
          <w:rFonts w:ascii="Arial" w:hAnsi="Arial" w:cs="Arial"/>
        </w:rPr>
        <w:t> </w:t>
      </w:r>
      <w:r w:rsidRPr="00FB6645">
        <w:rPr>
          <w:rFonts w:ascii="Arial" w:hAnsi="Arial" w:cs="Arial"/>
        </w:rPr>
        <w:t xml:space="preserve">przypadku braku obowiązku podjęcia działań w tym zakresie. </w:t>
      </w:r>
    </w:p>
    <w:p w14:paraId="68A487EE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AFFB0A6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E287519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120FAAD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93D9A56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B56A6C4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64878A9" w14:textId="77777777" w:rsidR="007A7F0E" w:rsidRPr="00FB6645" w:rsidRDefault="007A7F0E" w:rsidP="002572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5499B80" w14:textId="77777777" w:rsidR="001A2F11" w:rsidRPr="00FB6645" w:rsidRDefault="001A2F11" w:rsidP="00257224">
      <w:pPr>
        <w:spacing w:line="276" w:lineRule="auto"/>
        <w:jc w:val="both"/>
        <w:rPr>
          <w:rFonts w:ascii="Arial" w:hAnsi="Arial" w:cs="Arial"/>
        </w:rPr>
      </w:pPr>
      <w:r w:rsidRPr="00FB6645">
        <w:rPr>
          <w:rFonts w:ascii="Arial" w:hAnsi="Arial" w:cs="Arial"/>
          <w:b/>
        </w:rPr>
        <w:tab/>
      </w:r>
    </w:p>
    <w:p w14:paraId="13DF4882" w14:textId="77777777" w:rsidR="001A2F11" w:rsidRPr="00FB6645" w:rsidRDefault="001A2F11" w:rsidP="00257224">
      <w:pPr>
        <w:spacing w:line="276" w:lineRule="auto"/>
        <w:rPr>
          <w:rFonts w:ascii="Arial" w:hAnsi="Arial" w:cs="Arial"/>
        </w:rPr>
      </w:pPr>
    </w:p>
    <w:sectPr w:rsidR="001A2F11" w:rsidRPr="00FB6645" w:rsidSect="00B00D16">
      <w:footnotePr>
        <w:numRestart w:val="eachSect"/>
      </w:footnotePr>
      <w:endnotePr>
        <w:numFmt w:val="decimal"/>
      </w:endnotePr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D29B" w14:textId="77777777" w:rsidR="00927160" w:rsidRDefault="00927160" w:rsidP="00506266">
      <w:r>
        <w:separator/>
      </w:r>
    </w:p>
  </w:endnote>
  <w:endnote w:type="continuationSeparator" w:id="0">
    <w:p w14:paraId="762CA132" w14:textId="77777777" w:rsidR="00927160" w:rsidRDefault="00927160" w:rsidP="0050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C464" w14:textId="77777777" w:rsidR="00927160" w:rsidRDefault="00927160" w:rsidP="00506266">
      <w:r>
        <w:separator/>
      </w:r>
    </w:p>
  </w:footnote>
  <w:footnote w:type="continuationSeparator" w:id="0">
    <w:p w14:paraId="55FD5D88" w14:textId="77777777" w:rsidR="00927160" w:rsidRDefault="00927160" w:rsidP="00506266">
      <w:r>
        <w:continuationSeparator/>
      </w:r>
    </w:p>
  </w:footnote>
  <w:footnote w:id="1">
    <w:p w14:paraId="02D1CCB0" w14:textId="77777777" w:rsidR="00F42A8B" w:rsidRPr="00D91681" w:rsidRDefault="00F42A8B">
      <w:pPr>
        <w:pStyle w:val="Tekstprzypisudolnego"/>
        <w:rPr>
          <w:rFonts w:ascii="Arial" w:hAnsi="Arial" w:cs="Arial"/>
          <w:sz w:val="16"/>
          <w:szCs w:val="16"/>
        </w:rPr>
      </w:pPr>
      <w:r w:rsidRPr="00D916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1681">
        <w:rPr>
          <w:rFonts w:ascii="Arial" w:hAnsi="Arial" w:cs="Arial"/>
          <w:sz w:val="16"/>
          <w:szCs w:val="16"/>
        </w:rPr>
        <w:t xml:space="preserve"> Zmiana tekstu jednolitego wymienionej ustawy została ogłoszona w Dz.U. z 20</w:t>
      </w:r>
      <w:r w:rsidR="00D91681" w:rsidRPr="00D91681">
        <w:rPr>
          <w:rFonts w:ascii="Arial" w:hAnsi="Arial" w:cs="Arial"/>
          <w:sz w:val="16"/>
          <w:szCs w:val="16"/>
        </w:rPr>
        <w:t>25</w:t>
      </w:r>
      <w:r w:rsidR="00D91681">
        <w:rPr>
          <w:rFonts w:ascii="Arial" w:hAnsi="Arial" w:cs="Arial"/>
          <w:sz w:val="16"/>
          <w:szCs w:val="16"/>
        </w:rPr>
        <w:t xml:space="preserve"> </w:t>
      </w:r>
      <w:r w:rsidRPr="00D91681">
        <w:rPr>
          <w:rFonts w:ascii="Arial" w:hAnsi="Arial" w:cs="Arial"/>
          <w:sz w:val="16"/>
          <w:szCs w:val="16"/>
        </w:rPr>
        <w:t>r. poz. 1</w:t>
      </w:r>
      <w:r w:rsidR="00D91681" w:rsidRPr="00D91681">
        <w:rPr>
          <w:rFonts w:ascii="Arial" w:hAnsi="Arial" w:cs="Arial"/>
          <w:sz w:val="16"/>
          <w:szCs w:val="16"/>
        </w:rPr>
        <w:t>536</w:t>
      </w:r>
    </w:p>
  </w:footnote>
  <w:footnote w:id="2">
    <w:p w14:paraId="45A63C60" w14:textId="77777777" w:rsidR="00BF6179" w:rsidRDefault="00BF6179" w:rsidP="00506266">
      <w:pPr>
        <w:pStyle w:val="Tekstprzypisudolnego"/>
      </w:pPr>
      <w:r w:rsidRPr="00D916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1681">
        <w:rPr>
          <w:rFonts w:ascii="Arial" w:hAnsi="Arial" w:cs="Arial"/>
          <w:sz w:val="16"/>
          <w:szCs w:val="16"/>
        </w:rPr>
        <w:t xml:space="preserve"> Zmiany wymienionego tekstu jednolitego ustawy zostały ogłoszone w Dz. U. z 20</w:t>
      </w:r>
      <w:r w:rsidR="00D91681" w:rsidRPr="00D91681">
        <w:rPr>
          <w:rFonts w:ascii="Arial" w:hAnsi="Arial" w:cs="Arial"/>
          <w:sz w:val="16"/>
          <w:szCs w:val="16"/>
        </w:rPr>
        <w:t>25</w:t>
      </w:r>
      <w:r w:rsidRPr="00D91681">
        <w:rPr>
          <w:rFonts w:ascii="Arial" w:hAnsi="Arial" w:cs="Arial"/>
          <w:sz w:val="16"/>
          <w:szCs w:val="16"/>
        </w:rPr>
        <w:t xml:space="preserve"> r. poz. </w:t>
      </w:r>
      <w:r w:rsidR="00D91681" w:rsidRPr="00D91681">
        <w:rPr>
          <w:rFonts w:ascii="Arial" w:hAnsi="Arial" w:cs="Arial"/>
          <w:sz w:val="16"/>
          <w:szCs w:val="16"/>
        </w:rPr>
        <w:t>1080, 1812, 1863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068"/>
    <w:multiLevelType w:val="hybridMultilevel"/>
    <w:tmpl w:val="8D323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220"/>
    <w:multiLevelType w:val="hybridMultilevel"/>
    <w:tmpl w:val="CD863A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B1329C"/>
    <w:multiLevelType w:val="hybridMultilevel"/>
    <w:tmpl w:val="BFFE10E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AD1ED5"/>
    <w:multiLevelType w:val="hybridMultilevel"/>
    <w:tmpl w:val="689A3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AD22F1"/>
    <w:multiLevelType w:val="hybridMultilevel"/>
    <w:tmpl w:val="6AAE1056"/>
    <w:lvl w:ilvl="0" w:tplc="EC344836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0E2C2D"/>
    <w:multiLevelType w:val="hybridMultilevel"/>
    <w:tmpl w:val="E132B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2FA2"/>
    <w:multiLevelType w:val="multilevel"/>
    <w:tmpl w:val="8E863920"/>
    <w:lvl w:ilvl="0">
      <w:start w:val="1"/>
      <w:numFmt w:val="decimal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571"/>
        </w:tabs>
        <w:ind w:left="1135" w:hanging="284"/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30"/>
        </w:tabs>
        <w:ind w:left="993" w:hanging="283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222"/>
        </w:tabs>
        <w:ind w:left="425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995"/>
        </w:tabs>
        <w:ind w:left="570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55"/>
        </w:tabs>
        <w:ind w:left="621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5"/>
        </w:tabs>
        <w:ind w:left="671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35"/>
        </w:tabs>
        <w:ind w:left="721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5"/>
        </w:tabs>
        <w:ind w:left="7795" w:hanging="1440"/>
      </w:pPr>
      <w:rPr>
        <w:rFonts w:cs="Times New Roman" w:hint="default"/>
      </w:rPr>
    </w:lvl>
  </w:abstractNum>
  <w:abstractNum w:abstractNumId="7" w15:restartNumberingAfterBreak="0">
    <w:nsid w:val="1F4969C0"/>
    <w:multiLevelType w:val="hybridMultilevel"/>
    <w:tmpl w:val="82325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F30574"/>
    <w:multiLevelType w:val="hybridMultilevel"/>
    <w:tmpl w:val="A1A48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F67D77"/>
    <w:multiLevelType w:val="hybridMultilevel"/>
    <w:tmpl w:val="80C69DD2"/>
    <w:lvl w:ilvl="0" w:tplc="D11A7D3A">
      <w:start w:val="13"/>
      <w:numFmt w:val="bullet"/>
      <w:lvlText w:val=""/>
      <w:lvlJc w:val="left"/>
      <w:pPr>
        <w:tabs>
          <w:tab w:val="num" w:pos="958"/>
        </w:tabs>
        <w:ind w:left="958" w:hanging="585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0" w15:restartNumberingAfterBreak="0">
    <w:nsid w:val="34B71F4F"/>
    <w:multiLevelType w:val="hybridMultilevel"/>
    <w:tmpl w:val="C482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2253"/>
    <w:multiLevelType w:val="hybridMultilevel"/>
    <w:tmpl w:val="F1DE7C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00292F"/>
    <w:multiLevelType w:val="hybridMultilevel"/>
    <w:tmpl w:val="3AC889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15FB"/>
    <w:multiLevelType w:val="hybridMultilevel"/>
    <w:tmpl w:val="DA6633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9B53CF"/>
    <w:multiLevelType w:val="hybridMultilevel"/>
    <w:tmpl w:val="6B74B58A"/>
    <w:lvl w:ilvl="0" w:tplc="EDDCBB6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C982CE8"/>
    <w:multiLevelType w:val="hybridMultilevel"/>
    <w:tmpl w:val="195670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E392FEE"/>
    <w:multiLevelType w:val="hybridMultilevel"/>
    <w:tmpl w:val="5A76B30C"/>
    <w:lvl w:ilvl="0" w:tplc="493E543E">
      <w:start w:val="13"/>
      <w:numFmt w:val="bullet"/>
      <w:lvlText w:val=""/>
      <w:lvlJc w:val="left"/>
      <w:pPr>
        <w:tabs>
          <w:tab w:val="num" w:pos="958"/>
        </w:tabs>
        <w:ind w:left="958" w:hanging="585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7" w15:restartNumberingAfterBreak="0">
    <w:nsid w:val="514C1F77"/>
    <w:multiLevelType w:val="hybridMultilevel"/>
    <w:tmpl w:val="A1A48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D44221"/>
    <w:multiLevelType w:val="hybridMultilevel"/>
    <w:tmpl w:val="1AE66E38"/>
    <w:lvl w:ilvl="0" w:tplc="EC344836">
      <w:start w:val="1"/>
      <w:numFmt w:val="lowerLetter"/>
      <w:lvlText w:val="%1)"/>
      <w:lvlJc w:val="left"/>
      <w:pPr>
        <w:ind w:left="644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 w15:restartNumberingAfterBreak="0">
    <w:nsid w:val="5C043C86"/>
    <w:multiLevelType w:val="hybridMultilevel"/>
    <w:tmpl w:val="1E2858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7F375B"/>
    <w:multiLevelType w:val="hybridMultilevel"/>
    <w:tmpl w:val="971A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773C4C"/>
    <w:multiLevelType w:val="hybridMultilevel"/>
    <w:tmpl w:val="CE868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E63AF"/>
    <w:multiLevelType w:val="hybridMultilevel"/>
    <w:tmpl w:val="FD52BF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716C1D"/>
    <w:multiLevelType w:val="hybridMultilevel"/>
    <w:tmpl w:val="EB22F5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140CAC"/>
    <w:multiLevelType w:val="hybridMultilevel"/>
    <w:tmpl w:val="B6F208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8758682">
    <w:abstractNumId w:val="6"/>
  </w:num>
  <w:num w:numId="2" w16cid:durableId="1413966165">
    <w:abstractNumId w:val="23"/>
  </w:num>
  <w:num w:numId="3" w16cid:durableId="487984658">
    <w:abstractNumId w:val="11"/>
  </w:num>
  <w:num w:numId="4" w16cid:durableId="361563417">
    <w:abstractNumId w:val="20"/>
  </w:num>
  <w:num w:numId="5" w16cid:durableId="815754672">
    <w:abstractNumId w:val="1"/>
  </w:num>
  <w:num w:numId="6" w16cid:durableId="1643077683">
    <w:abstractNumId w:val="18"/>
  </w:num>
  <w:num w:numId="7" w16cid:durableId="1361006128">
    <w:abstractNumId w:val="3"/>
  </w:num>
  <w:num w:numId="8" w16cid:durableId="101540269">
    <w:abstractNumId w:val="17"/>
  </w:num>
  <w:num w:numId="9" w16cid:durableId="2016570265">
    <w:abstractNumId w:val="8"/>
  </w:num>
  <w:num w:numId="10" w16cid:durableId="920213259">
    <w:abstractNumId w:val="2"/>
  </w:num>
  <w:num w:numId="11" w16cid:durableId="1874421370">
    <w:abstractNumId w:val="14"/>
  </w:num>
  <w:num w:numId="12" w16cid:durableId="1508206557">
    <w:abstractNumId w:val="12"/>
  </w:num>
  <w:num w:numId="13" w16cid:durableId="10765307">
    <w:abstractNumId w:val="24"/>
  </w:num>
  <w:num w:numId="14" w16cid:durableId="761220702">
    <w:abstractNumId w:val="5"/>
  </w:num>
  <w:num w:numId="15" w16cid:durableId="1040323346">
    <w:abstractNumId w:val="15"/>
  </w:num>
  <w:num w:numId="16" w16cid:durableId="1243831128">
    <w:abstractNumId w:val="21"/>
  </w:num>
  <w:num w:numId="17" w16cid:durableId="1738548736">
    <w:abstractNumId w:val="16"/>
  </w:num>
  <w:num w:numId="18" w16cid:durableId="1459299880">
    <w:abstractNumId w:val="9"/>
  </w:num>
  <w:num w:numId="19" w16cid:durableId="1470397909">
    <w:abstractNumId w:val="0"/>
  </w:num>
  <w:num w:numId="20" w16cid:durableId="186918013">
    <w:abstractNumId w:val="22"/>
  </w:num>
  <w:num w:numId="21" w16cid:durableId="1921596284">
    <w:abstractNumId w:val="19"/>
  </w:num>
  <w:num w:numId="22" w16cid:durableId="231354037">
    <w:abstractNumId w:val="4"/>
  </w:num>
  <w:num w:numId="23" w16cid:durableId="293369563">
    <w:abstractNumId w:val="10"/>
  </w:num>
  <w:num w:numId="24" w16cid:durableId="70978959">
    <w:abstractNumId w:val="7"/>
  </w:num>
  <w:num w:numId="25" w16cid:durableId="1423795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8F94D4C-3E3E-4D16-906C-7C96DD8F4D75}"/>
  </w:docVars>
  <w:rsids>
    <w:rsidRoot w:val="00506266"/>
    <w:rsid w:val="00006131"/>
    <w:rsid w:val="00013AC8"/>
    <w:rsid w:val="00046AFC"/>
    <w:rsid w:val="0006717F"/>
    <w:rsid w:val="000717E3"/>
    <w:rsid w:val="00075EF8"/>
    <w:rsid w:val="00096C24"/>
    <w:rsid w:val="00096DA9"/>
    <w:rsid w:val="000C6EAC"/>
    <w:rsid w:val="000D5064"/>
    <w:rsid w:val="000E1208"/>
    <w:rsid w:val="000F61F7"/>
    <w:rsid w:val="00110987"/>
    <w:rsid w:val="00116C46"/>
    <w:rsid w:val="00135B72"/>
    <w:rsid w:val="001716CE"/>
    <w:rsid w:val="00195A97"/>
    <w:rsid w:val="001A2F11"/>
    <w:rsid w:val="001A3AAC"/>
    <w:rsid w:val="001B043B"/>
    <w:rsid w:val="001B5245"/>
    <w:rsid w:val="001E60BA"/>
    <w:rsid w:val="002150C5"/>
    <w:rsid w:val="00251425"/>
    <w:rsid w:val="00252812"/>
    <w:rsid w:val="002567A9"/>
    <w:rsid w:val="00257224"/>
    <w:rsid w:val="0026647B"/>
    <w:rsid w:val="00271579"/>
    <w:rsid w:val="00287DE7"/>
    <w:rsid w:val="002D0FB8"/>
    <w:rsid w:val="002F73B7"/>
    <w:rsid w:val="00314B94"/>
    <w:rsid w:val="003462D8"/>
    <w:rsid w:val="0034798A"/>
    <w:rsid w:val="00365524"/>
    <w:rsid w:val="0037104E"/>
    <w:rsid w:val="003755EE"/>
    <w:rsid w:val="00381D82"/>
    <w:rsid w:val="00383A1A"/>
    <w:rsid w:val="00386CB6"/>
    <w:rsid w:val="0039555B"/>
    <w:rsid w:val="003A34B7"/>
    <w:rsid w:val="003B6628"/>
    <w:rsid w:val="003C2E4E"/>
    <w:rsid w:val="003D0D90"/>
    <w:rsid w:val="003E4262"/>
    <w:rsid w:val="003F5887"/>
    <w:rsid w:val="003F73C4"/>
    <w:rsid w:val="00402DD3"/>
    <w:rsid w:val="00407B33"/>
    <w:rsid w:val="004237EA"/>
    <w:rsid w:val="00441727"/>
    <w:rsid w:val="004642CC"/>
    <w:rsid w:val="0046768C"/>
    <w:rsid w:val="00481F69"/>
    <w:rsid w:val="00495D30"/>
    <w:rsid w:val="004A3535"/>
    <w:rsid w:val="004B03CC"/>
    <w:rsid w:val="004B4C97"/>
    <w:rsid w:val="004B7636"/>
    <w:rsid w:val="004D5C5A"/>
    <w:rsid w:val="00506266"/>
    <w:rsid w:val="00544A46"/>
    <w:rsid w:val="00545A49"/>
    <w:rsid w:val="0055028F"/>
    <w:rsid w:val="0055395B"/>
    <w:rsid w:val="00560315"/>
    <w:rsid w:val="00562A8F"/>
    <w:rsid w:val="005773C6"/>
    <w:rsid w:val="0059289D"/>
    <w:rsid w:val="005F61B3"/>
    <w:rsid w:val="00604637"/>
    <w:rsid w:val="006147AF"/>
    <w:rsid w:val="00624336"/>
    <w:rsid w:val="00637218"/>
    <w:rsid w:val="00662F31"/>
    <w:rsid w:val="0069732C"/>
    <w:rsid w:val="006A0D50"/>
    <w:rsid w:val="006E4703"/>
    <w:rsid w:val="006F68CC"/>
    <w:rsid w:val="00722AF2"/>
    <w:rsid w:val="00731765"/>
    <w:rsid w:val="00733DA0"/>
    <w:rsid w:val="00741C3F"/>
    <w:rsid w:val="00746362"/>
    <w:rsid w:val="007506AD"/>
    <w:rsid w:val="007555F3"/>
    <w:rsid w:val="00776BB3"/>
    <w:rsid w:val="007A7F0E"/>
    <w:rsid w:val="007B274B"/>
    <w:rsid w:val="00801034"/>
    <w:rsid w:val="008021D8"/>
    <w:rsid w:val="00827ACB"/>
    <w:rsid w:val="008404B3"/>
    <w:rsid w:val="00842CF6"/>
    <w:rsid w:val="008569BA"/>
    <w:rsid w:val="008632FC"/>
    <w:rsid w:val="00874134"/>
    <w:rsid w:val="008764A7"/>
    <w:rsid w:val="008A3116"/>
    <w:rsid w:val="008C2DE8"/>
    <w:rsid w:val="008D014C"/>
    <w:rsid w:val="008D05F2"/>
    <w:rsid w:val="008D2A24"/>
    <w:rsid w:val="008F28E0"/>
    <w:rsid w:val="008F5768"/>
    <w:rsid w:val="00927160"/>
    <w:rsid w:val="009315AE"/>
    <w:rsid w:val="00937351"/>
    <w:rsid w:val="0094207E"/>
    <w:rsid w:val="00943DCB"/>
    <w:rsid w:val="00945746"/>
    <w:rsid w:val="009518A2"/>
    <w:rsid w:val="00956430"/>
    <w:rsid w:val="00961BA7"/>
    <w:rsid w:val="00980CB7"/>
    <w:rsid w:val="00993350"/>
    <w:rsid w:val="00993C5C"/>
    <w:rsid w:val="009B2210"/>
    <w:rsid w:val="009B2907"/>
    <w:rsid w:val="009F2CC7"/>
    <w:rsid w:val="00A171C7"/>
    <w:rsid w:val="00A334F3"/>
    <w:rsid w:val="00A41555"/>
    <w:rsid w:val="00A42C47"/>
    <w:rsid w:val="00A457BA"/>
    <w:rsid w:val="00A50673"/>
    <w:rsid w:val="00A958F8"/>
    <w:rsid w:val="00AA28A7"/>
    <w:rsid w:val="00AD068C"/>
    <w:rsid w:val="00AD3D33"/>
    <w:rsid w:val="00AE32C6"/>
    <w:rsid w:val="00B00D16"/>
    <w:rsid w:val="00B046B3"/>
    <w:rsid w:val="00B06FC3"/>
    <w:rsid w:val="00B26261"/>
    <w:rsid w:val="00B45BFE"/>
    <w:rsid w:val="00B5659F"/>
    <w:rsid w:val="00B63035"/>
    <w:rsid w:val="00B90CB1"/>
    <w:rsid w:val="00BA1408"/>
    <w:rsid w:val="00BA47EB"/>
    <w:rsid w:val="00BB2B39"/>
    <w:rsid w:val="00BD3C40"/>
    <w:rsid w:val="00BE08FD"/>
    <w:rsid w:val="00BF6179"/>
    <w:rsid w:val="00C01986"/>
    <w:rsid w:val="00C15141"/>
    <w:rsid w:val="00C34050"/>
    <w:rsid w:val="00C72162"/>
    <w:rsid w:val="00C743C5"/>
    <w:rsid w:val="00C81219"/>
    <w:rsid w:val="00C95290"/>
    <w:rsid w:val="00CC7185"/>
    <w:rsid w:val="00CE02CC"/>
    <w:rsid w:val="00CF0CB3"/>
    <w:rsid w:val="00D07213"/>
    <w:rsid w:val="00D100BA"/>
    <w:rsid w:val="00D33DC0"/>
    <w:rsid w:val="00D457F2"/>
    <w:rsid w:val="00D46D0F"/>
    <w:rsid w:val="00D538B7"/>
    <w:rsid w:val="00D53C01"/>
    <w:rsid w:val="00D55395"/>
    <w:rsid w:val="00D60020"/>
    <w:rsid w:val="00D77F70"/>
    <w:rsid w:val="00D86B0F"/>
    <w:rsid w:val="00D91681"/>
    <w:rsid w:val="00DC09C8"/>
    <w:rsid w:val="00DC45F5"/>
    <w:rsid w:val="00DD6819"/>
    <w:rsid w:val="00DE5BF3"/>
    <w:rsid w:val="00DF3020"/>
    <w:rsid w:val="00E04154"/>
    <w:rsid w:val="00E14F68"/>
    <w:rsid w:val="00E21EC7"/>
    <w:rsid w:val="00E27E44"/>
    <w:rsid w:val="00E51899"/>
    <w:rsid w:val="00E519FD"/>
    <w:rsid w:val="00E77EB4"/>
    <w:rsid w:val="00E803E2"/>
    <w:rsid w:val="00E842B1"/>
    <w:rsid w:val="00EA364A"/>
    <w:rsid w:val="00EB636A"/>
    <w:rsid w:val="00EB63EA"/>
    <w:rsid w:val="00EC4FCE"/>
    <w:rsid w:val="00EC53BC"/>
    <w:rsid w:val="00EC6445"/>
    <w:rsid w:val="00F01300"/>
    <w:rsid w:val="00F03815"/>
    <w:rsid w:val="00F0717A"/>
    <w:rsid w:val="00F179AF"/>
    <w:rsid w:val="00F20405"/>
    <w:rsid w:val="00F27A16"/>
    <w:rsid w:val="00F42A8B"/>
    <w:rsid w:val="00F512D5"/>
    <w:rsid w:val="00F54D92"/>
    <w:rsid w:val="00F80A29"/>
    <w:rsid w:val="00F95AB2"/>
    <w:rsid w:val="00FB09A0"/>
    <w:rsid w:val="00FB6645"/>
    <w:rsid w:val="00FE0643"/>
    <w:rsid w:val="00FE0E00"/>
    <w:rsid w:val="00FF4E26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9A40C"/>
  <w15:docId w15:val="{CAA769A4-A150-4B9C-89B1-1AAF695C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2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0626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062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06266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06266"/>
    <w:pPr>
      <w:keepNext/>
      <w:numPr>
        <w:ilvl w:val="3"/>
        <w:numId w:val="1"/>
      </w:numPr>
      <w:tabs>
        <w:tab w:val="left" w:pos="709"/>
      </w:tabs>
      <w:spacing w:before="240" w:after="60" w:line="360" w:lineRule="auto"/>
      <w:jc w:val="both"/>
      <w:outlineLvl w:val="3"/>
    </w:pPr>
    <w:rPr>
      <w:bCs/>
      <w:i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06266"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06266"/>
    <w:rPr>
      <w:rFonts w:ascii="Arial" w:hAnsi="Arial" w:cs="Arial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06266"/>
    <w:rPr>
      <w:rFonts w:ascii="Times New Roman" w:hAnsi="Times New Roman" w:cs="Times New Roman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06266"/>
    <w:rPr>
      <w:rFonts w:ascii="Times New Roman" w:hAnsi="Times New Roman" w:cs="Times New Roman"/>
      <w:bCs/>
      <w:i/>
      <w:sz w:val="28"/>
      <w:szCs w:val="28"/>
      <w:lang w:val="x-none"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506266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506266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506266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50626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5062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545A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717E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17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1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717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locked/>
    <w:rsid w:val="006F68CC"/>
    <w:pPr>
      <w:numPr>
        <w:ilvl w:val="1"/>
      </w:numPr>
      <w:spacing w:before="240" w:after="120" w:line="360" w:lineRule="auto"/>
      <w:jc w:val="center"/>
    </w:pPr>
    <w:rPr>
      <w:rFonts w:ascii="Arial" w:eastAsiaTheme="minorEastAsia" w:hAnsi="Arial" w:cstheme="minorBidi"/>
      <w:b/>
      <w:color w:val="000000" w:themeColor="text1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6F68CC"/>
    <w:rPr>
      <w:rFonts w:ascii="Arial" w:eastAsiaTheme="minorEastAsia" w:hAnsi="Arial" w:cstheme="minorBidi"/>
      <w:b/>
      <w:color w:val="000000" w:themeColor="text1"/>
      <w:spacing w:val="15"/>
      <w:sz w:val="24"/>
    </w:rPr>
  </w:style>
  <w:style w:type="paragraph" w:styleId="Tytu">
    <w:name w:val="Title"/>
    <w:basedOn w:val="Normalny"/>
    <w:next w:val="Normalny"/>
    <w:link w:val="TytuZnak"/>
    <w:qFormat/>
    <w:locked/>
    <w:rsid w:val="00FB6645"/>
    <w:pPr>
      <w:spacing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FB6645"/>
    <w:rPr>
      <w:rFonts w:ascii="Arial" w:eastAsiaTheme="majorEastAsia" w:hAnsi="Arial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4D4C-3E3E-4D16-906C-7C96DD8F4D7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E723F75-C17A-43F1-9D6F-9B48C544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1705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Krzysztof</dc:creator>
  <cp:lastModifiedBy>Niemiec Barbara</cp:lastModifiedBy>
  <cp:revision>2</cp:revision>
  <cp:lastPrinted>2015-07-07T07:28:00Z</cp:lastPrinted>
  <dcterms:created xsi:type="dcterms:W3CDTF">2026-06-15T13:12:00Z</dcterms:created>
  <dcterms:modified xsi:type="dcterms:W3CDTF">2026-06-15T13:12:00Z</dcterms:modified>
</cp:coreProperties>
</file>